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D916" w14:textId="1A322299" w:rsidR="00B216B3" w:rsidRPr="0059557F" w:rsidRDefault="00BB5D63">
      <w:pPr>
        <w:spacing w:line="0" w:lineRule="atLeast"/>
        <w:jc w:val="center"/>
        <w:rPr>
          <w:rFonts w:ascii="標楷體" w:eastAsia="標楷體" w:hAnsi="標楷體"/>
        </w:rPr>
      </w:pPr>
      <w:r w:rsidRPr="0059557F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2910B8E4" wp14:editId="0191DBB2">
            <wp:simplePos x="0" y="0"/>
            <wp:positionH relativeFrom="column">
              <wp:posOffset>6286500</wp:posOffset>
            </wp:positionH>
            <wp:positionV relativeFrom="paragraph">
              <wp:posOffset>403222</wp:posOffset>
            </wp:positionV>
            <wp:extent cx="540382" cy="651510"/>
            <wp:effectExtent l="0" t="0" r="0" b="0"/>
            <wp:wrapNone/>
            <wp:docPr id="1" name="圖片 2" descr="暫存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651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9557F">
        <w:rPr>
          <w:rFonts w:ascii="標楷體" w:eastAsia="標楷體" w:hAnsi="標楷體" w:cs="新細明體"/>
          <w:b/>
          <w:sz w:val="36"/>
          <w:szCs w:val="36"/>
        </w:rPr>
        <w:t>國立政治大學培育中等學校各學科教師專門</w:t>
      </w:r>
      <w:r w:rsidR="00E872D0" w:rsidRPr="0059557F">
        <w:rPr>
          <w:rFonts w:ascii="標楷體" w:eastAsia="標楷體" w:hAnsi="標楷體" w:cs="新細明體" w:hint="eastAsia"/>
          <w:b/>
          <w:sz w:val="36"/>
          <w:szCs w:val="36"/>
        </w:rPr>
        <w:t>課程</w:t>
      </w:r>
      <w:r w:rsidRPr="0059557F">
        <w:rPr>
          <w:rFonts w:ascii="標楷體" w:eastAsia="標楷體" w:hAnsi="標楷體" w:cs="新細明體"/>
          <w:b/>
          <w:sz w:val="36"/>
          <w:szCs w:val="36"/>
        </w:rPr>
        <w:t>學分認定表</w:t>
      </w:r>
    </w:p>
    <w:p w14:paraId="45E201CD" w14:textId="77777777" w:rsidR="00B216B3" w:rsidRDefault="00BB5D63">
      <w:pPr>
        <w:spacing w:line="0" w:lineRule="atLeast"/>
        <w:ind w:firstLine="179"/>
      </w:pPr>
      <w:r>
        <w:rPr>
          <w:rFonts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5FF79" wp14:editId="2246AD8F">
                <wp:simplePos x="0" y="0"/>
                <wp:positionH relativeFrom="column">
                  <wp:posOffset>3661184</wp:posOffset>
                </wp:positionH>
                <wp:positionV relativeFrom="paragraph">
                  <wp:posOffset>8421</wp:posOffset>
                </wp:positionV>
                <wp:extent cx="2877187" cy="348615"/>
                <wp:effectExtent l="0" t="0" r="0" b="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187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83B219" w14:textId="77777777" w:rsidR="00B216B3" w:rsidRDefault="00BB5D63">
                            <w:pPr>
                              <w:spacing w:before="100" w:after="100"/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  <w:t>115年1月30日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  <w:t>教師(二)字第1150004946號函備查</w:t>
                            </w:r>
                          </w:p>
                          <w:p w14:paraId="1C5415D1" w14:textId="77777777" w:rsidR="00B216B3" w:rsidRDefault="00B216B3">
                            <w:pPr>
                              <w:spacing w:before="100" w:after="100"/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0D5B742" w14:textId="77777777" w:rsidR="00B216B3" w:rsidRDefault="00B216B3">
                            <w:pPr>
                              <w:spacing w:before="100" w:after="100"/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A5FF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8.3pt;margin-top:.65pt;width:226.55pt;height:27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" filled="f" stroked="f">
                <v:textbox>
                  <w:txbxContent>
                    <w:p w14:paraId="0983B219" w14:textId="77777777" w:rsidR="00B216B3" w:rsidRDefault="00BB5D63">
                      <w:pPr>
                        <w:spacing w:before="100" w:after="100"/>
                        <w:rPr>
                          <w:rFonts w:ascii="標楷體" w:eastAsia="標楷體" w:hAnsi="標楷體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18"/>
                          <w:szCs w:val="18"/>
                        </w:rPr>
                        <w:t>115年1月30日臺教師(二)字第1150004946號函備查</w:t>
                      </w:r>
                    </w:p>
                    <w:p w14:paraId="1C5415D1" w14:textId="77777777" w:rsidR="00B216B3" w:rsidRDefault="00B216B3">
                      <w:pPr>
                        <w:spacing w:before="100" w:after="100"/>
                        <w:rPr>
                          <w:rFonts w:ascii="標楷體" w:eastAsia="標楷體" w:hAnsi="標楷體"/>
                          <w:color w:val="FF0000"/>
                          <w:sz w:val="18"/>
                          <w:szCs w:val="18"/>
                        </w:rPr>
                      </w:pPr>
                    </w:p>
                    <w:p w14:paraId="60D5B742" w14:textId="77777777" w:rsidR="00B216B3" w:rsidRDefault="00B216B3">
                      <w:pPr>
                        <w:spacing w:before="100" w:after="100"/>
                        <w:rPr>
                          <w:rFonts w:ascii="標楷體" w:eastAsia="標楷體" w:hAnsi="標楷體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cs="新細明體"/>
          <w:b/>
          <w:sz w:val="28"/>
          <w:szCs w:val="28"/>
        </w:rPr>
        <w:t>◎</w:t>
      </w:r>
      <w:r>
        <w:rPr>
          <w:rFonts w:eastAsia="標楷體"/>
          <w:b/>
          <w:sz w:val="28"/>
          <w:szCs w:val="28"/>
        </w:rPr>
        <w:t>中等學校：</w:t>
      </w:r>
    </w:p>
    <w:p w14:paraId="0A6BE307" w14:textId="77777777" w:rsidR="00B216B3" w:rsidRDefault="00BB5D63">
      <w:pPr>
        <w:spacing w:line="0" w:lineRule="atLeast"/>
      </w:pPr>
      <w:r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0C7D1BC6" wp14:editId="369F1FB8">
                <wp:simplePos x="0" y="0"/>
                <wp:positionH relativeFrom="column">
                  <wp:posOffset>99395</wp:posOffset>
                </wp:positionH>
                <wp:positionV relativeFrom="paragraph">
                  <wp:posOffset>39566</wp:posOffset>
                </wp:positionV>
                <wp:extent cx="6144896" cy="467999"/>
                <wp:effectExtent l="0" t="0" r="27304" b="27301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6" cy="46799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1" cap="flat">
                          <a:solidFill>
                            <a:srgbClr val="D9D9D9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F427DB4" id="矩形 3" o:spid="_x0000_s1026" style="position:absolute;margin-left:7.85pt;margin-top:3.1pt;width:483.85pt;height:36.85pt;z-index:-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" fillcolor="#d9d9d9" strokecolor="#d9d9d9" strokeweight=".35281mm">
                <v:textbox inset="0,0,0,0"/>
              </v:rect>
            </w:pict>
          </mc:Fallback>
        </mc:AlternateConten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（</w:t>
      </w:r>
      <w:r>
        <w:rPr>
          <w:rFonts w:eastAsia="標楷體"/>
          <w:b/>
          <w:sz w:val="36"/>
          <w:szCs w:val="36"/>
        </w:rPr>
        <w:t>02</w:t>
      </w:r>
      <w:r>
        <w:rPr>
          <w:rFonts w:eastAsia="標楷體"/>
          <w:b/>
          <w:sz w:val="36"/>
          <w:szCs w:val="36"/>
        </w:rPr>
        <w:t>）語文領域</w:t>
      </w:r>
      <w:r>
        <w:rPr>
          <w:rFonts w:eastAsia="標楷體"/>
          <w:b/>
          <w:sz w:val="36"/>
          <w:szCs w:val="36"/>
        </w:rPr>
        <w:t>-</w:t>
      </w:r>
      <w:r>
        <w:rPr>
          <w:rFonts w:eastAsia="標楷體"/>
          <w:b/>
          <w:sz w:val="36"/>
          <w:szCs w:val="36"/>
        </w:rPr>
        <w:t>英語文專長</w:t>
      </w:r>
      <w:r>
        <w:rPr>
          <w:rFonts w:eastAsia="標楷體"/>
          <w:b/>
          <w:sz w:val="36"/>
          <w:szCs w:val="36"/>
          <w:shd w:val="clear" w:color="auto" w:fill="FFFFFF"/>
        </w:rPr>
        <w:t xml:space="preserve">　　</w:t>
      </w:r>
      <w:r>
        <w:rPr>
          <w:rFonts w:eastAsia="標楷體"/>
          <w:b/>
          <w:sz w:val="36"/>
          <w:szCs w:val="36"/>
          <w:shd w:val="clear" w:color="auto" w:fill="FFFFFF"/>
        </w:rPr>
        <w:t xml:space="preserve">                        </w:t>
      </w:r>
      <w:r>
        <w:rPr>
          <w:rFonts w:eastAsia="標楷體"/>
          <w:b/>
          <w:sz w:val="32"/>
          <w:szCs w:val="36"/>
          <w:shd w:val="clear" w:color="auto" w:fill="FFFFFF"/>
        </w:rPr>
        <w:t xml:space="preserve"> </w:t>
      </w:r>
    </w:p>
    <w:p w14:paraId="67F136F1" w14:textId="479CE312" w:rsidR="00B216B3" w:rsidRPr="00E872D0" w:rsidRDefault="00BB5D63" w:rsidP="00E872D0">
      <w:pPr>
        <w:spacing w:line="0" w:lineRule="atLeast"/>
        <w:ind w:firstLine="177"/>
        <w:rPr>
          <w:rFonts w:eastAsia="標楷體"/>
          <w:b/>
          <w:sz w:val="28"/>
          <w:szCs w:val="36"/>
        </w:rPr>
      </w:pPr>
      <w:r>
        <w:rPr>
          <w:rFonts w:eastAsia="標楷體"/>
          <w:b/>
          <w:sz w:val="28"/>
          <w:szCs w:val="36"/>
        </w:rPr>
        <w:t xml:space="preserve">        </w:t>
      </w:r>
      <w:r w:rsidR="00CC7107">
        <w:rPr>
          <w:rFonts w:asciiTheme="minorEastAsia" w:eastAsiaTheme="minorEastAsia" w:hAnsiTheme="minorEastAsia" w:hint="eastAsia"/>
          <w:b/>
          <w:sz w:val="28"/>
          <w:szCs w:val="36"/>
        </w:rPr>
        <w:t xml:space="preserve">  </w:t>
      </w:r>
      <w:r w:rsidR="00752E7A">
        <w:rPr>
          <w:rFonts w:asciiTheme="minorEastAsia" w:eastAsiaTheme="minorEastAsia" w:hAnsiTheme="minorEastAsia" w:hint="eastAsia"/>
          <w:b/>
          <w:sz w:val="28"/>
          <w:szCs w:val="36"/>
        </w:rPr>
        <w:t xml:space="preserve">   </w:t>
      </w:r>
      <w:r w:rsidR="00CC7107">
        <w:rPr>
          <w:rFonts w:asciiTheme="minorEastAsia" w:eastAsiaTheme="minorEastAsia" w:hAnsiTheme="minorEastAsia" w:hint="eastAsia"/>
          <w:b/>
          <w:sz w:val="28"/>
          <w:szCs w:val="36"/>
        </w:rPr>
        <w:t xml:space="preserve"> </w:t>
      </w:r>
      <w:r w:rsidR="00752E7A"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sym w:font="Wingdings 2" w:char="F0F8"/>
      </w:r>
      <w:r>
        <w:rPr>
          <w:rFonts w:eastAsia="標楷體"/>
          <w:b/>
          <w:sz w:val="28"/>
          <w:szCs w:val="36"/>
        </w:rPr>
        <w:t>本校培育之學系所</w:t>
      </w:r>
      <w:r w:rsidR="002E4512">
        <w:rPr>
          <w:rFonts w:eastAsia="標楷體" w:hint="eastAsia"/>
          <w:b/>
          <w:sz w:val="28"/>
          <w:szCs w:val="36"/>
        </w:rPr>
        <w:t xml:space="preserve"> </w:t>
      </w:r>
      <w:r w:rsidR="002E4512">
        <w:rPr>
          <w:rFonts w:eastAsia="標楷體"/>
          <w:b/>
          <w:sz w:val="28"/>
          <w:szCs w:val="36"/>
        </w:rPr>
        <w:t xml:space="preserve"> </w:t>
      </w:r>
      <w:r w:rsidR="002E4512">
        <w:rPr>
          <w:rFonts w:eastAsia="標楷體" w:hint="eastAsia"/>
        </w:rPr>
        <w:t>(</w:t>
      </w:r>
      <w:r w:rsidR="002E4512">
        <w:rPr>
          <w:rFonts w:eastAsia="標楷體" w:hint="eastAsia"/>
        </w:rPr>
        <w:t>本校具本系、輔系或雙主修資格</w:t>
      </w:r>
      <w:r w:rsidR="002E4512">
        <w:rPr>
          <w:rFonts w:eastAsia="標楷體" w:hint="eastAsia"/>
        </w:rPr>
        <w:t>)</w:t>
      </w:r>
      <w:r>
        <w:rPr>
          <w:rFonts w:eastAsia="標楷體"/>
          <w:b/>
          <w:sz w:val="28"/>
          <w:szCs w:val="36"/>
        </w:rPr>
        <w:t>：英國語文學系</w:t>
      </w:r>
      <w:r>
        <w:rPr>
          <w:rFonts w:eastAsia="標楷體"/>
          <w:b/>
          <w:sz w:val="28"/>
          <w:szCs w:val="36"/>
        </w:rPr>
        <w:t>(</w:t>
      </w:r>
      <w:r>
        <w:rPr>
          <w:rFonts w:eastAsia="標楷體"/>
          <w:b/>
          <w:sz w:val="28"/>
          <w:szCs w:val="36"/>
        </w:rPr>
        <w:t>所</w:t>
      </w:r>
      <w:r>
        <w:rPr>
          <w:rFonts w:eastAsia="標楷體"/>
          <w:b/>
          <w:sz w:val="28"/>
          <w:szCs w:val="36"/>
        </w:rPr>
        <w:t>)</w:t>
      </w:r>
      <w:r w:rsidR="00E872D0">
        <w:rPr>
          <w:rFonts w:eastAsia="標楷體" w:hint="eastAsia"/>
        </w:rPr>
        <w:t xml:space="preserve"> </w:t>
      </w:r>
      <w:r>
        <w:rPr>
          <w:rFonts w:eastAsia="標楷體"/>
          <w:b/>
          <w:sz w:val="28"/>
          <w:szCs w:val="36"/>
        </w:rPr>
        <w:t xml:space="preserve"> </w:t>
      </w:r>
      <w:r>
        <w:rPr>
          <w:rFonts w:eastAsia="標楷體"/>
          <w:b/>
          <w:sz w:val="28"/>
          <w:szCs w:val="36"/>
          <w:shd w:val="clear" w:color="auto" w:fill="FFFFFF"/>
        </w:rPr>
        <w:t xml:space="preserve">                      </w:t>
      </w:r>
      <w:r>
        <w:rPr>
          <w:rFonts w:eastAsia="標楷體"/>
          <w:b/>
          <w:sz w:val="40"/>
          <w:szCs w:val="38"/>
          <w:shd w:val="clear" w:color="auto" w:fill="FFFFFF"/>
        </w:rPr>
        <w:t xml:space="preserve"> </w:t>
      </w:r>
    </w:p>
    <w:p w14:paraId="2BD5AC9E" w14:textId="7CCD4BD2" w:rsidR="00B216B3" w:rsidRDefault="00E872D0">
      <w:pPr>
        <w:spacing w:line="0" w:lineRule="atLeast"/>
        <w:ind w:firstLine="120"/>
        <w:jc w:val="right"/>
      </w:pPr>
      <w:r>
        <w:rPr>
          <w:rFonts w:eastAsia="標楷體" w:hint="eastAsia"/>
        </w:rPr>
        <w:t xml:space="preserve">                                                </w:t>
      </w:r>
      <w:r w:rsidR="00BB5D63">
        <w:rPr>
          <w:rFonts w:eastAsia="標楷體"/>
        </w:rPr>
        <w:t>申請日期：</w:t>
      </w:r>
      <w:r w:rsidR="00BB5D63">
        <w:rPr>
          <w:rFonts w:eastAsia="標楷體"/>
        </w:rPr>
        <w:t xml:space="preserve">   </w:t>
      </w:r>
      <w:r w:rsidR="00BB5D63">
        <w:rPr>
          <w:rFonts w:eastAsia="標楷體"/>
        </w:rPr>
        <w:t>年</w:t>
      </w:r>
      <w:r w:rsidR="00BB5D63">
        <w:rPr>
          <w:rFonts w:eastAsia="標楷體"/>
        </w:rPr>
        <w:t xml:space="preserve">   </w:t>
      </w:r>
      <w:r w:rsidR="00BB5D63">
        <w:rPr>
          <w:rFonts w:eastAsia="標楷體"/>
        </w:rPr>
        <w:t>月</w:t>
      </w:r>
      <w:r w:rsidR="00BB5D63">
        <w:rPr>
          <w:rFonts w:eastAsia="標楷體"/>
        </w:rPr>
        <w:t xml:space="preserve">   </w:t>
      </w:r>
      <w:r w:rsidR="00BB5D63">
        <w:rPr>
          <w:rFonts w:eastAsia="標楷體"/>
        </w:rPr>
        <w:t>日</w:t>
      </w:r>
    </w:p>
    <w:p w14:paraId="3F4C06E9" w14:textId="77777777" w:rsidR="00B216B3" w:rsidRDefault="00B216B3">
      <w:pPr>
        <w:rPr>
          <w:vanish/>
        </w:rPr>
      </w:pPr>
    </w:p>
    <w:tbl>
      <w:tblPr>
        <w:tblW w:w="105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6"/>
        <w:gridCol w:w="630"/>
        <w:gridCol w:w="425"/>
        <w:gridCol w:w="594"/>
        <w:gridCol w:w="1920"/>
        <w:gridCol w:w="183"/>
        <w:gridCol w:w="193"/>
        <w:gridCol w:w="1257"/>
        <w:gridCol w:w="653"/>
        <w:gridCol w:w="149"/>
        <w:gridCol w:w="560"/>
        <w:gridCol w:w="543"/>
        <w:gridCol w:w="17"/>
        <w:gridCol w:w="630"/>
        <w:gridCol w:w="204"/>
        <w:gridCol w:w="375"/>
        <w:gridCol w:w="1728"/>
      </w:tblGrid>
      <w:tr w:rsidR="00B216B3" w14:paraId="768AB0C5" w14:textId="77777777">
        <w:trPr>
          <w:trHeight w:val="165"/>
        </w:trPr>
        <w:tc>
          <w:tcPr>
            <w:tcW w:w="21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E67E" w14:textId="77777777" w:rsidR="00B216B3" w:rsidRDefault="00BB5D63">
            <w:pPr>
              <w:jc w:val="center"/>
            </w:pPr>
            <w:r>
              <w:rPr>
                <w:rFonts w:eastAsia="標楷體"/>
                <w:b/>
                <w:kern w:val="0"/>
              </w:rPr>
              <w:t>學</w:t>
            </w:r>
            <w:r>
              <w:rPr>
                <w:rFonts w:eastAsia="標楷體"/>
                <w:b/>
                <w:kern w:val="0"/>
              </w:rPr>
              <w:t xml:space="preserve"> </w:t>
            </w:r>
            <w:r>
              <w:rPr>
                <w:rFonts w:eastAsia="標楷體"/>
                <w:b/>
                <w:kern w:val="0"/>
              </w:rPr>
              <w:t>號</w:t>
            </w:r>
          </w:p>
        </w:tc>
        <w:tc>
          <w:tcPr>
            <w:tcW w:w="21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46569" w14:textId="77777777" w:rsidR="00B216B3" w:rsidRDefault="00BB5D63">
            <w:pPr>
              <w:jc w:val="center"/>
            </w:pPr>
            <w:r>
              <w:rPr>
                <w:rFonts w:eastAsia="標楷體"/>
                <w:b/>
                <w:kern w:val="0"/>
              </w:rPr>
              <w:t>姓</w:t>
            </w:r>
            <w:r>
              <w:rPr>
                <w:rFonts w:eastAsia="標楷體"/>
                <w:b/>
                <w:kern w:val="0"/>
              </w:rPr>
              <w:t xml:space="preserve"> </w:t>
            </w:r>
            <w:r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21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34DBB" w14:textId="77777777" w:rsidR="00B216B3" w:rsidRDefault="00BB5D63">
            <w:pPr>
              <w:jc w:val="center"/>
            </w:pPr>
            <w:r>
              <w:rPr>
                <w:rFonts w:eastAsia="標楷體"/>
                <w:b/>
                <w:kern w:val="0"/>
              </w:rPr>
              <w:t>系所年級別</w:t>
            </w:r>
          </w:p>
        </w:tc>
        <w:tc>
          <w:tcPr>
            <w:tcW w:w="210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9B794" w14:textId="77777777" w:rsidR="00B216B3" w:rsidRDefault="00BB5D63">
            <w:pPr>
              <w:jc w:val="center"/>
            </w:pPr>
            <w:r>
              <w:rPr>
                <w:rFonts w:eastAsia="標楷體"/>
                <w:b/>
                <w:kern w:val="0"/>
              </w:rPr>
              <w:t>緊急聯絡電話</w:t>
            </w:r>
          </w:p>
        </w:tc>
        <w:tc>
          <w:tcPr>
            <w:tcW w:w="21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48EE4" w14:textId="77777777" w:rsidR="00B216B3" w:rsidRDefault="00BB5D63">
            <w:pPr>
              <w:jc w:val="center"/>
            </w:pPr>
            <w:r>
              <w:rPr>
                <w:rFonts w:eastAsia="標楷體"/>
                <w:b/>
                <w:kern w:val="0"/>
              </w:rPr>
              <w:t>備</w:t>
            </w:r>
            <w:r>
              <w:rPr>
                <w:rFonts w:eastAsia="標楷體"/>
                <w:b/>
                <w:kern w:val="0"/>
              </w:rPr>
              <w:t xml:space="preserve"> </w:t>
            </w:r>
            <w:r>
              <w:rPr>
                <w:rFonts w:eastAsia="標楷體"/>
                <w:b/>
                <w:kern w:val="0"/>
              </w:rPr>
              <w:t>註</w:t>
            </w:r>
          </w:p>
        </w:tc>
      </w:tr>
      <w:tr w:rsidR="00B216B3" w14:paraId="57685807" w14:textId="77777777">
        <w:trPr>
          <w:trHeight w:val="454"/>
        </w:trPr>
        <w:tc>
          <w:tcPr>
            <w:tcW w:w="210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5DA4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9141F6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9C24A1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35F90C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A022EA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B216B3" w14:paraId="382B4FBF" w14:textId="77777777">
        <w:trPr>
          <w:trHeight w:val="536"/>
        </w:trPr>
        <w:tc>
          <w:tcPr>
            <w:tcW w:w="756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E965" w14:textId="77777777" w:rsidR="00B216B3" w:rsidRDefault="00BB5D63">
            <w:pPr>
              <w:jc w:val="center"/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專門科目學分認定欄</w:t>
            </w:r>
            <w:r>
              <w:rPr>
                <w:rFonts w:eastAsia="標楷體"/>
                <w:kern w:val="0"/>
                <w:sz w:val="20"/>
              </w:rPr>
              <w:t>(</w:t>
            </w:r>
            <w:r>
              <w:rPr>
                <w:rFonts w:eastAsia="標楷體"/>
                <w:kern w:val="0"/>
                <w:sz w:val="20"/>
              </w:rPr>
              <w:t>由學生確實填寫</w:t>
            </w:r>
            <w:r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295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D7B443" w14:textId="77777777" w:rsidR="00B216B3" w:rsidRDefault="00BB5D63">
            <w:pPr>
              <w:jc w:val="center"/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審核欄</w:t>
            </w:r>
            <w:r>
              <w:rPr>
                <w:rFonts w:eastAsia="標楷體"/>
                <w:kern w:val="0"/>
                <w:sz w:val="20"/>
              </w:rPr>
              <w:t>(</w:t>
            </w:r>
            <w:r>
              <w:rPr>
                <w:rFonts w:eastAsia="標楷體"/>
                <w:kern w:val="0"/>
                <w:sz w:val="20"/>
              </w:rPr>
              <w:t>審核人員填寫</w:t>
            </w:r>
            <w:r>
              <w:rPr>
                <w:rFonts w:eastAsia="標楷體"/>
                <w:kern w:val="0"/>
                <w:sz w:val="20"/>
              </w:rPr>
              <w:t>)</w:t>
            </w:r>
          </w:p>
        </w:tc>
      </w:tr>
      <w:tr w:rsidR="00B216B3" w14:paraId="4E42D451" w14:textId="77777777">
        <w:trPr>
          <w:trHeight w:val="27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3151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課程類別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F5F3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該修</w:t>
            </w:r>
          </w:p>
          <w:p w14:paraId="326F3921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類習</w:t>
            </w:r>
          </w:p>
          <w:p w14:paraId="6FEF7643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別學</w:t>
            </w:r>
          </w:p>
          <w:p w14:paraId="5098C8EC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最分</w:t>
            </w:r>
          </w:p>
          <w:p w14:paraId="1060E4D2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低數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1305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必選修</w:t>
            </w:r>
          </w:p>
        </w:tc>
        <w:tc>
          <w:tcPr>
            <w:tcW w:w="2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92A4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規定專門科目</w:t>
            </w:r>
          </w:p>
        </w:tc>
        <w:tc>
          <w:tcPr>
            <w:tcW w:w="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5FBD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BE69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已修習</w:t>
            </w:r>
            <w:r>
              <w:rPr>
                <w:rFonts w:eastAsia="標楷體"/>
                <w:kern w:val="0"/>
                <w:sz w:val="16"/>
                <w:szCs w:val="16"/>
              </w:rPr>
              <w:br/>
            </w:r>
            <w:r>
              <w:rPr>
                <w:rFonts w:eastAsia="標楷體"/>
                <w:kern w:val="0"/>
                <w:sz w:val="16"/>
                <w:szCs w:val="16"/>
              </w:rPr>
              <w:t>專門科目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9970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289D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成績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0173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可採認學分</w:t>
            </w:r>
          </w:p>
        </w:tc>
        <w:tc>
          <w:tcPr>
            <w:tcW w:w="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80B3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審核人簽章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50D4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備註</w:t>
            </w:r>
          </w:p>
        </w:tc>
      </w:tr>
      <w:tr w:rsidR="00B216B3" w14:paraId="0CC0F6C8" w14:textId="77777777">
        <w:trPr>
          <w:trHeight w:val="107"/>
        </w:trPr>
        <w:tc>
          <w:tcPr>
            <w:tcW w:w="4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18A4" w14:textId="77777777" w:rsidR="00B216B3" w:rsidRDefault="00B216B3">
            <w:pPr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3707" w14:textId="77777777" w:rsidR="00B216B3" w:rsidRDefault="00B216B3">
            <w:pPr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CD4D" w14:textId="77777777" w:rsidR="00B216B3" w:rsidRDefault="00B216B3">
            <w:pPr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25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5E0EF" w14:textId="77777777" w:rsidR="00B216B3" w:rsidRDefault="00B216B3">
            <w:pPr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0220" w14:textId="77777777" w:rsidR="00B216B3" w:rsidRDefault="00B216B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3C2D" w14:textId="77777777" w:rsidR="00B216B3" w:rsidRDefault="00B216B3">
            <w:pPr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46D0" w14:textId="77777777" w:rsidR="00B216B3" w:rsidRDefault="00B216B3">
            <w:pPr>
              <w:jc w:val="center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89CF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上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8191" w14:textId="77777777" w:rsidR="00B216B3" w:rsidRDefault="00BB5D63">
            <w:pPr>
              <w:spacing w:line="240" w:lineRule="exact"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r>
              <w:rPr>
                <w:rFonts w:eastAsia="標楷體"/>
                <w:kern w:val="0"/>
                <w:sz w:val="16"/>
                <w:szCs w:val="16"/>
              </w:rPr>
              <w:t>下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A0CB" w14:textId="77777777" w:rsidR="00B216B3" w:rsidRDefault="00B216B3">
            <w:pPr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752D" w14:textId="77777777" w:rsidR="00B216B3" w:rsidRDefault="00B216B3">
            <w:pPr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E256" w14:textId="77777777" w:rsidR="00B216B3" w:rsidRDefault="00B216B3">
            <w:pPr>
              <w:rPr>
                <w:rFonts w:eastAsia="標楷體"/>
                <w:kern w:val="0"/>
                <w:sz w:val="16"/>
                <w:szCs w:val="16"/>
              </w:rPr>
            </w:pPr>
          </w:p>
        </w:tc>
      </w:tr>
      <w:tr w:rsidR="00B216B3" w14:paraId="76F90F3F" w14:textId="77777777">
        <w:trPr>
          <w:trHeight w:val="680"/>
        </w:trPr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1299" w14:textId="77777777" w:rsidR="00B216B3" w:rsidRDefault="00BB5D63">
            <w:pPr>
              <w:jc w:val="center"/>
            </w:pPr>
            <w:r>
              <w:rPr>
                <w:rFonts w:eastAsia="標楷體"/>
                <w:b/>
                <w:sz w:val="22"/>
                <w:szCs w:val="22"/>
              </w:rPr>
              <w:t>英語文溝通能力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5D69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5937" w14:textId="77777777" w:rsidR="00B216B3" w:rsidRDefault="00BB5D6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群修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652D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英語口語訓練（一）：</w:t>
            </w:r>
          </w:p>
          <w:p w14:paraId="62F75326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口語訓練與聽力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D6E9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770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D48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430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98D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6C5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255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8618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必修至少</w:t>
            </w:r>
            <w:r>
              <w:rPr>
                <w:rFonts w:eastAsia="標楷體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B216B3" w14:paraId="54F367ED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DD7F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237C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176C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8019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英語口語訓練（二）：</w:t>
            </w:r>
          </w:p>
          <w:p w14:paraId="15200E36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口語訓練與閱讀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D9E7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33C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4B3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4D9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F7D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E13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74C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33C1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20CC6DB4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CFD5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E4F6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8F42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7AF2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英語口語訓練（三）：</w:t>
            </w:r>
          </w:p>
          <w:p w14:paraId="47645096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口語訓練與閱讀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5D96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2E3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DA7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670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BF5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8A7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5FB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7B0E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07FCDF0B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4CE8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5B2A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2FE6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7C00" w14:textId="77777777" w:rsidR="00B216B3" w:rsidRDefault="00BB5D63">
            <w:pPr>
              <w:snapToGrid w:val="0"/>
              <w:ind w:left="-101" w:right="-168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【外文中心】選修英文：</w:t>
            </w:r>
          </w:p>
          <w:p w14:paraId="1F61BFC7" w14:textId="77777777" w:rsidR="00B216B3" w:rsidRDefault="00BB5D63">
            <w:pPr>
              <w:snapToGrid w:val="0"/>
              <w:ind w:right="-168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閱讀與口語訓練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FC7B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9D3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89C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F14C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DC9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DBC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3C2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9736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6DBC545F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561B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0A9F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542C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F0BB" w14:textId="77777777" w:rsidR="00B216B3" w:rsidRDefault="00BB5D63">
            <w:pPr>
              <w:snapToGrid w:val="0"/>
              <w:ind w:left="-101" w:right="-91"/>
            </w:pPr>
            <w:r>
              <w:rPr>
                <w:rFonts w:eastAsia="標楷體"/>
                <w:kern w:val="0"/>
                <w:sz w:val="20"/>
                <w:szCs w:val="20"/>
              </w:rPr>
              <w:t>【英輔】英語口語訓練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FA1F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35F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92E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AFD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7B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6F5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85F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5BDF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4DF30B42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C2F6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3A59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403A" w14:textId="77777777" w:rsidR="00B216B3" w:rsidRDefault="00BB5D6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群修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A704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發音語音學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3C44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C144" w14:textId="77777777" w:rsidR="00B216B3" w:rsidRDefault="00B216B3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08E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2610" w14:textId="77777777" w:rsidR="00B216B3" w:rsidRDefault="00B216B3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0ABA" w14:textId="77777777" w:rsidR="00B216B3" w:rsidRDefault="00B216B3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766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6E4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BFF4" w14:textId="77777777" w:rsidR="00B216B3" w:rsidRDefault="00BB5D63">
            <w:pPr>
              <w:snapToGrid w:val="0"/>
              <w:spacing w:line="40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必修至少</w:t>
            </w:r>
            <w:r>
              <w:rPr>
                <w:rFonts w:eastAsia="標楷體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學分</w:t>
            </w:r>
          </w:p>
          <w:p w14:paraId="2C4AD5A6" w14:textId="77777777" w:rsidR="00B216B3" w:rsidRDefault="00BB5D63">
            <w:pPr>
              <w:snapToGrid w:val="0"/>
              <w:spacing w:line="40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※</w:t>
            </w:r>
            <w:r>
              <w:rPr>
                <w:rFonts w:eastAsia="標楷體"/>
                <w:sz w:val="22"/>
                <w:szCs w:val="22"/>
              </w:rPr>
              <w:t>「發音語音學」與【英輔】「英語語音學」只能擇一採認。</w:t>
            </w:r>
          </w:p>
        </w:tc>
      </w:tr>
      <w:tr w:rsidR="00B216B3" w14:paraId="4AA33772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C789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7D1B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4057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0E82" w14:textId="77777777" w:rsidR="00B216B3" w:rsidRDefault="00BB5D63">
            <w:pPr>
              <w:snapToGrid w:val="0"/>
              <w:ind w:left="-101" w:right="-91"/>
            </w:pPr>
            <w:r>
              <w:rPr>
                <w:rFonts w:eastAsia="標楷體"/>
                <w:kern w:val="0"/>
                <w:sz w:val="20"/>
                <w:szCs w:val="20"/>
              </w:rPr>
              <w:t>【英輔】英語語音學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323B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EEF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6C3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92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860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E53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B3A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5373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216B3" w14:paraId="10CFA196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F3FE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7407A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3CB2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513B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進階英語口語訓練：商用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12BC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890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4CA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43B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A10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243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454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3CFE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368CF8C8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ABA5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9C9A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9A9B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2444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進階英語口語訓練：辯論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3D7D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B6C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FBD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D01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9E9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400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0A9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055A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31405E7D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D524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A0AB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8AC0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BE4A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進階英語口語訓練：新聞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1538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D43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32A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17B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91E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993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EF2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6D49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0E282939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BA81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9936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AF37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C1E6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進階英語口語訓練：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電影與拍片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6434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FBF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8A0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AFF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A7F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C93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CB4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48E4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31A410D3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33BE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D729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499D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E07B" w14:textId="77777777" w:rsidR="00B216B3" w:rsidRDefault="00BB5D63">
            <w:pPr>
              <w:snapToGrid w:val="0"/>
              <w:ind w:left="-101" w:right="-91"/>
            </w:pPr>
            <w:r>
              <w:rPr>
                <w:rFonts w:eastAsia="標楷體"/>
                <w:kern w:val="0"/>
                <w:sz w:val="20"/>
                <w:szCs w:val="20"/>
              </w:rPr>
              <w:t>【外文中心】選修英文：學術聽說訓練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9D5C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A19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2A6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880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741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6FF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865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B4DC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616B242F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2B44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CDE3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2C72" w14:textId="77777777" w:rsidR="00B216B3" w:rsidRDefault="00BB5D6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群修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E6FB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寫作與閱讀（一）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15A9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AC2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C05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91B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968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08C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081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65E7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必修至少</w:t>
            </w:r>
            <w:r>
              <w:rPr>
                <w:rFonts w:eastAsia="標楷體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B216B3" w14:paraId="626E9A38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1409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8BDD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7B05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5192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寫作與閱讀（二）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374F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D9C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2F0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54C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B28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B2D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10B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1251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1D33212D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4CA8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9B99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433B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F1A4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寫作與閱讀（三）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1E28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CED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77B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286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181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086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767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D15F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5AC8FB78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71F8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20E5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B6F3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663D" w14:textId="77777777" w:rsidR="00B216B3" w:rsidRDefault="00BB5D63">
            <w:pPr>
              <w:snapToGrid w:val="0"/>
              <w:ind w:left="-101" w:right="-168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進階英文寫作：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學術報告寫作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0376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7C6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D15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C07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32A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45A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A2A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282C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7C233988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227A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9422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D942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8B07" w14:textId="77777777" w:rsidR="00B216B3" w:rsidRDefault="00BB5D63">
            <w:pPr>
              <w:snapToGrid w:val="0"/>
              <w:ind w:left="-101" w:right="-168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進階英文寫作：創作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3B0D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1B5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CC9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C3F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2E3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359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EFD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1353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763D1287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0346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91C8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A183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0217" w14:textId="77777777" w:rsidR="00B216B3" w:rsidRDefault="00BB5D63">
            <w:pPr>
              <w:snapToGrid w:val="0"/>
              <w:ind w:left="-101" w:right="-168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進階英文寫作：影片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34F4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2D3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4FC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52F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C1F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564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E67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3D8D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7A15F409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A9C0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E306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2077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536A" w14:textId="77777777" w:rsidR="00B216B3" w:rsidRDefault="00BB5D63">
            <w:pPr>
              <w:snapToGrid w:val="0"/>
              <w:ind w:left="-101" w:right="-168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進階英文寫作：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語言學寫作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8EFB6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E9A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02B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E5C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893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E9F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656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BF05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785513B8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F994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636E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4370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D64F" w14:textId="77777777" w:rsidR="00B216B3" w:rsidRDefault="00BB5D63">
            <w:pPr>
              <w:snapToGrid w:val="0"/>
              <w:ind w:left="-101" w:right="-168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進階英文寫作：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文學寫作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7E7F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BA4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53E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EF7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450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2DC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1E6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6F70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4E83D65F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79BE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709F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74AE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06DD" w14:textId="77777777" w:rsidR="00B216B3" w:rsidRDefault="00BB5D63">
            <w:pPr>
              <w:snapToGrid w:val="0"/>
              <w:ind w:left="-101" w:right="-168"/>
            </w:pPr>
            <w:r>
              <w:rPr>
                <w:rFonts w:eastAsia="標楷體"/>
                <w:kern w:val="0"/>
                <w:sz w:val="20"/>
                <w:szCs w:val="20"/>
              </w:rPr>
              <w:t>【外文中心】選修英文：英文寫作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02FC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47F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1D4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0B2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BEC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2D8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B8E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6119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0F8B1BB4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CFA2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3A84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AA6D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F495" w14:textId="77777777" w:rsidR="00B216B3" w:rsidRDefault="00BB5D63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【英輔】英文作文（一）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E1ED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2D3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29B4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D0A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B3D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028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544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1F93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1B82447A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7EF0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A004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A9B3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EF40" w14:textId="77777777" w:rsidR="00B216B3" w:rsidRDefault="00BB5D63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【英輔】英文作文（二）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3F12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60B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474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8A7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C8C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5F9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143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7A50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7B5AA73A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C7FF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6D03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CACE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1BF3" w14:textId="77777777" w:rsidR="00B216B3" w:rsidRDefault="00BB5D63">
            <w:pPr>
              <w:snapToGrid w:val="0"/>
              <w:ind w:left="-103" w:right="-29"/>
            </w:pPr>
            <w:r>
              <w:rPr>
                <w:rFonts w:eastAsia="標楷體"/>
                <w:sz w:val="20"/>
                <w:szCs w:val="20"/>
              </w:rPr>
              <w:t>翻譯專題：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翻譯的基本概念及技巧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0E52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3FD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3C6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FE3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249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F5C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3C4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C5CB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5EF90B2A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5BE5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5BE7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5C1F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FBBD" w14:textId="77777777" w:rsidR="00B216B3" w:rsidRDefault="00BB5D63">
            <w:pPr>
              <w:snapToGrid w:val="0"/>
              <w:ind w:left="-103" w:right="-29"/>
            </w:pPr>
            <w:r>
              <w:rPr>
                <w:rFonts w:eastAsia="標楷體"/>
                <w:sz w:val="20"/>
                <w:szCs w:val="20"/>
              </w:rPr>
              <w:t>翻譯專題：翻譯理論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397C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09E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1A0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D76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77D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84F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D0D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157C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0D539F78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314A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8DFD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2643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9BD9" w14:textId="77777777" w:rsidR="00B216B3" w:rsidRDefault="00BB5D63">
            <w:pPr>
              <w:snapToGrid w:val="0"/>
              <w:ind w:left="-103" w:right="-29"/>
            </w:pPr>
            <w:r>
              <w:rPr>
                <w:rFonts w:eastAsia="標楷體"/>
                <w:sz w:val="20"/>
                <w:szCs w:val="20"/>
              </w:rPr>
              <w:t>翻譯專題：理論與實務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C6EC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259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64A1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944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CF7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20B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B21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239A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306240CD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6DDF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F574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3D21" w14:textId="77777777" w:rsidR="00B216B3" w:rsidRDefault="00B216B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FA99" w14:textId="77777777" w:rsidR="00B216B3" w:rsidRDefault="00BB5D63">
            <w:pPr>
              <w:snapToGrid w:val="0"/>
              <w:ind w:left="-103" w:right="-29"/>
            </w:pPr>
            <w:r>
              <w:rPr>
                <w:rFonts w:eastAsia="標楷體"/>
                <w:sz w:val="20"/>
                <w:szCs w:val="20"/>
              </w:rPr>
              <w:t>翻譯專題：文學翻譯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90BB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24E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C35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433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6D1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FCD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B1E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BC2F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0B2CD29B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B743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676C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6B29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BDF7" w14:textId="77777777" w:rsidR="00B216B3" w:rsidRDefault="00BB5D63">
            <w:pPr>
              <w:snapToGrid w:val="0"/>
              <w:ind w:left="-103" w:right="-29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翻譯專題：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文學翻譯的理論與實務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7DCE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26D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129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413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89D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DE7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46A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57F3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</w:tr>
      <w:tr w:rsidR="00B216B3" w14:paraId="2A61EDCF" w14:textId="77777777">
        <w:trPr>
          <w:trHeight w:val="680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492B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CDB0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B553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0991" w14:textId="77777777" w:rsidR="00B216B3" w:rsidRDefault="00BB5D63">
            <w:pPr>
              <w:snapToGrid w:val="0"/>
              <w:ind w:left="-103" w:right="-29"/>
            </w:pPr>
            <w:r>
              <w:rPr>
                <w:rFonts w:eastAsia="標楷體"/>
                <w:sz w:val="20"/>
                <w:szCs w:val="20"/>
              </w:rPr>
              <w:t>翻譯專題：新聞英文翻譯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E667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D86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EEB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87E0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B2E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4F1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191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CC50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0A0AEB47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E263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AEAE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2453" w14:textId="77777777" w:rsidR="00B216B3" w:rsidRDefault="00BB5D63">
            <w:pPr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選修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5932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逐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同步口譯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B33A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664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749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657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C72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8C2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0A2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BE1B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275EDA5F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B19F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0EC2" w14:textId="77777777" w:rsidR="00B216B3" w:rsidRDefault="00B216B3">
            <w:pPr>
              <w:spacing w:line="0" w:lineRule="atLeas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F4D5" w14:textId="77777777" w:rsidR="00B216B3" w:rsidRDefault="00B216B3">
            <w:pPr>
              <w:spacing w:line="0" w:lineRule="atLeas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4660" w14:textId="77777777" w:rsidR="00B216B3" w:rsidRDefault="00BB5D63">
            <w:pPr>
              <w:snapToGrid w:val="0"/>
              <w:ind w:left="-101" w:right="-91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【英輔】閱讀指導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B728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41B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D3B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874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249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18A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064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8157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57B05108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3A69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CE6D" w14:textId="77777777" w:rsidR="00B216B3" w:rsidRDefault="00B216B3">
            <w:pPr>
              <w:spacing w:line="0" w:lineRule="atLeast"/>
              <w:jc w:val="center"/>
              <w:rPr>
                <w:rFonts w:eastAsia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DDDF" w14:textId="77777777" w:rsidR="00B216B3" w:rsidRDefault="00B216B3">
            <w:pPr>
              <w:spacing w:line="0" w:lineRule="atLeast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AFA4" w14:textId="77777777" w:rsidR="00B216B3" w:rsidRDefault="00BB5D63">
            <w:pPr>
              <w:snapToGrid w:val="0"/>
              <w:ind w:left="-101" w:right="-168"/>
            </w:pPr>
            <w:r>
              <w:rPr>
                <w:rFonts w:eastAsia="標楷體"/>
                <w:kern w:val="0"/>
                <w:sz w:val="20"/>
                <w:szCs w:val="20"/>
              </w:rPr>
              <w:t>【外文中心】選修英文：職場溝通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1BB2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2B7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701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DF9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CD3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77E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8B1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F290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7F5C004E" w14:textId="77777777">
        <w:trPr>
          <w:trHeight w:val="1382"/>
        </w:trPr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8E21" w14:textId="77777777" w:rsidR="00B216B3" w:rsidRDefault="00BB5D63">
            <w:pPr>
              <w:snapToGrid w:val="0"/>
              <w:spacing w:line="400" w:lineRule="atLeast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語言學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42E1" w14:textId="77777777" w:rsidR="00B216B3" w:rsidRDefault="00BB5D6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A91A" w14:textId="77777777" w:rsidR="00B216B3" w:rsidRDefault="00BB5D63">
            <w:pPr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群修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0B8E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語言與世界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40DE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6F4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962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8D6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538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405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70E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85D" w14:textId="77777777" w:rsidR="00B216B3" w:rsidRDefault="00BB5D63">
            <w:pPr>
              <w:snapToGrid w:val="0"/>
              <w:spacing w:line="40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必修至少</w:t>
            </w:r>
            <w:r>
              <w:rPr>
                <w:rFonts w:eastAsia="標楷體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學分</w:t>
            </w:r>
          </w:p>
          <w:p w14:paraId="53433E54" w14:textId="77777777" w:rsidR="00B216B3" w:rsidRDefault="00BB5D6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/>
                <w:sz w:val="20"/>
                <w:szCs w:val="20"/>
              </w:rPr>
              <w:t>本系「英語語言學概論」分為上、下學期各三學分；「語言與世界」與「英語語言學概論」上學期課程只能擇一採認。</w:t>
            </w:r>
          </w:p>
          <w:p w14:paraId="55BAEE7C" w14:textId="77777777" w:rsidR="00B216B3" w:rsidRDefault="00BB5D63">
            <w:pPr>
              <w:snapToGrid w:val="0"/>
              <w:spacing w:line="40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2.</w:t>
            </w:r>
            <w:r>
              <w:rPr>
                <w:rFonts w:eastAsia="標楷體"/>
                <w:sz w:val="20"/>
                <w:szCs w:val="20"/>
              </w:rPr>
              <w:t>本系「英語語</w:t>
            </w:r>
            <w:r>
              <w:rPr>
                <w:rFonts w:eastAsia="標楷體"/>
                <w:sz w:val="20"/>
                <w:szCs w:val="20"/>
              </w:rPr>
              <w:lastRenderedPageBreak/>
              <w:t>言學概論」</w:t>
            </w:r>
            <w:r>
              <w:rPr>
                <w:rFonts w:eastAsia="標楷體"/>
                <w:sz w:val="20"/>
                <w:szCs w:val="20"/>
              </w:rPr>
              <w:t>(6</w:t>
            </w:r>
            <w:r>
              <w:rPr>
                <w:rFonts w:eastAsia="標楷體"/>
                <w:sz w:val="20"/>
                <w:szCs w:val="20"/>
              </w:rPr>
              <w:t>學分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>與英文輔系「英語語言學概論」</w:t>
            </w:r>
            <w:r>
              <w:rPr>
                <w:rFonts w:eastAsia="標楷體"/>
                <w:sz w:val="20"/>
                <w:szCs w:val="20"/>
              </w:rPr>
              <w:t>(4</w:t>
            </w:r>
            <w:r>
              <w:rPr>
                <w:rFonts w:eastAsia="標楷體"/>
                <w:sz w:val="20"/>
                <w:szCs w:val="20"/>
              </w:rPr>
              <w:t>學分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>只能擇一採認。</w:t>
            </w:r>
          </w:p>
        </w:tc>
      </w:tr>
      <w:tr w:rsidR="00B216B3" w14:paraId="56845869" w14:textId="77777777">
        <w:trPr>
          <w:trHeight w:val="567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BACF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3E17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B640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6A13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英語語言學概論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36E9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8AF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3AF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A90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9F6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357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0A8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668F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514CC08A" w14:textId="77777777">
        <w:trPr>
          <w:trHeight w:val="567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388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84A5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AFA5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1099" w14:textId="77777777" w:rsidR="00B216B3" w:rsidRDefault="00BB5D63">
            <w:pPr>
              <w:snapToGrid w:val="0"/>
              <w:ind w:left="-101" w:right="-91"/>
            </w:pPr>
            <w:r>
              <w:rPr>
                <w:rFonts w:eastAsia="標楷體"/>
                <w:kern w:val="0"/>
                <w:sz w:val="20"/>
                <w:szCs w:val="20"/>
              </w:rPr>
              <w:t>【英輔】英語語言學概論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9BE9C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386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413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3EB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C00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A69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544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2F50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7441DBF1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5BFB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6A9A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5530" w14:textId="77777777" w:rsidR="00B216B3" w:rsidRDefault="00BB5D63">
            <w:pPr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選修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D199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英語語言發展史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DF82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3AB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888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1A1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6C7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42E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856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E355C" w14:textId="77777777" w:rsidR="00B216B3" w:rsidRDefault="00BB5D6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※</w:t>
            </w:r>
            <w:r>
              <w:rPr>
                <w:rFonts w:eastAsia="標楷體"/>
                <w:kern w:val="0"/>
                <w:sz w:val="22"/>
                <w:szCs w:val="22"/>
              </w:rPr>
              <w:t>「語用學導論」與「語言與使用」只能擇一採認。</w:t>
            </w:r>
          </w:p>
        </w:tc>
      </w:tr>
      <w:tr w:rsidR="00B216B3" w14:paraId="1AD223C2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9E5F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52B2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02245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A655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語言與認知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C8B2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28E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463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475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6CE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145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247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1742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2A1747A7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88CB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99E0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272E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CC7A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音韻學導論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4A13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882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246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E1E6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F14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D9D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489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D501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2DE6FEA2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A5A9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35FC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EC7A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B553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語法學導論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030C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D1A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DBE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AD1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4D1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B5C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BE7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93CD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48C20A5C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5A8E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BAED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D88F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C436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語意學導論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126C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AC0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468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CB6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467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2C1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197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C88A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27C7C793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360D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6744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6DAD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54BE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語用學導論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077E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3A0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DC6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698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A2A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A9C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21F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B3D6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5DD5412E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1A09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979F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8C1F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678A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語言與使用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F0A6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F02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54C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9CC2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C68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A76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CDD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E215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67540933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5DB9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5E24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866A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4362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心理語言學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ED40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AA9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EDE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87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F50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E2E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1A2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25C6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46DAB55D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D580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5F86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7138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4D81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社會語言學導論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37BE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1A6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21C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AD8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2D9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BD4A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C9E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88B7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43D18DAC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854E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D6FB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2643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B255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語言與文化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201F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3CC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46F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8D6D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A14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AAD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BA5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CEE9" w14:textId="77777777" w:rsidR="00B216B3" w:rsidRDefault="00B216B3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35A70E69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CED5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A8EE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8D59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75D6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語言與社會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58CD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83F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9BB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0D0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ADC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518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DA3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944C" w14:textId="77777777" w:rsidR="00B216B3" w:rsidRDefault="00B216B3">
            <w:pPr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4F85E76E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B413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2641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4DED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4D6C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語料庫語言學與計算語言學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F749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773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A48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00C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801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322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75B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5B14" w14:textId="77777777" w:rsidR="00B216B3" w:rsidRDefault="00B216B3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B216B3" w14:paraId="7F225423" w14:textId="77777777">
        <w:trPr>
          <w:trHeight w:val="454"/>
        </w:trPr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46A5" w14:textId="77777777" w:rsidR="00B216B3" w:rsidRDefault="00BB5D63">
            <w:pPr>
              <w:snapToGrid w:val="0"/>
              <w:spacing w:line="400" w:lineRule="atLeast"/>
              <w:jc w:val="center"/>
            </w:pPr>
            <w:r>
              <w:rPr>
                <w:rFonts w:eastAsia="標楷體"/>
                <w:b/>
                <w:sz w:val="22"/>
                <w:szCs w:val="22"/>
              </w:rPr>
              <w:t>文學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000E" w14:textId="77777777" w:rsidR="00B216B3" w:rsidRDefault="00BB5D6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/>
                <w:b/>
                <w:kern w:val="0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0A4D" w14:textId="77777777" w:rsidR="00B216B3" w:rsidRDefault="00BB5D63">
            <w:pPr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必修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177F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文學作品讀法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2FC9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2B4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326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98E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7BB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6AD0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51A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48D1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必修至少</w:t>
            </w:r>
            <w:r>
              <w:rPr>
                <w:rFonts w:eastAsia="標楷體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B216B3" w14:paraId="21879C08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B73A" w14:textId="77777777" w:rsidR="00B216B3" w:rsidRDefault="00B216B3">
            <w:pPr>
              <w:snapToGrid w:val="0"/>
              <w:spacing w:line="400" w:lineRule="atLeas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174A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6F4F" w14:textId="77777777" w:rsidR="00B216B3" w:rsidRDefault="00BB5D63">
            <w:pPr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群修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2C9A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英國文學：</w:t>
            </w:r>
            <w:r>
              <w:rPr>
                <w:rFonts w:eastAsia="標楷體"/>
                <w:sz w:val="20"/>
                <w:szCs w:val="20"/>
              </w:rPr>
              <w:t>1600</w:t>
            </w:r>
            <w:r>
              <w:rPr>
                <w:rFonts w:eastAsia="標楷體"/>
                <w:sz w:val="20"/>
                <w:szCs w:val="20"/>
              </w:rPr>
              <w:t>以前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D002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C22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364D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0ED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83B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822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47F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DBDE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必修至少</w:t>
            </w:r>
            <w:r>
              <w:rPr>
                <w:rFonts w:eastAsia="標楷體"/>
                <w:sz w:val="22"/>
                <w:szCs w:val="22"/>
              </w:rPr>
              <w:t>3</w:t>
            </w:r>
            <w:r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B216B3" w14:paraId="7757E94B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A436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AC7E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47CC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37C6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英國文學：</w:t>
            </w:r>
            <w:r>
              <w:rPr>
                <w:rFonts w:eastAsia="標楷體"/>
                <w:sz w:val="20"/>
                <w:szCs w:val="20"/>
              </w:rPr>
              <w:t>1600</w:t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1800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7887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A57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989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312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281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D76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EE4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DB6F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B216B3" w14:paraId="668DC3B1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D664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67CE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53DB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D972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十九世紀英國文學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9891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EEA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7AB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129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806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BCD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901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A1D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B216B3" w14:paraId="646CEA60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508A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A5E8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A513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A40B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二十世紀英國文學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012D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0A9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1F3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AC29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896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B69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C90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E91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B216B3" w14:paraId="063B2754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489B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3315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7F20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C7F2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美國文學</w:t>
            </w:r>
            <w:r>
              <w:rPr>
                <w:rFonts w:eastAsia="標楷體"/>
                <w:sz w:val="20"/>
                <w:szCs w:val="20"/>
              </w:rPr>
              <w:t>1865</w:t>
            </w:r>
            <w:r>
              <w:rPr>
                <w:rFonts w:eastAsia="標楷體"/>
                <w:sz w:val="20"/>
                <w:szCs w:val="20"/>
              </w:rPr>
              <w:t>以前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2FCF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E81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EC8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F54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1AD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0AC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9DB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F6C2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B216B3" w14:paraId="0FB336E4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737F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8888" w14:textId="77777777" w:rsidR="00B216B3" w:rsidRDefault="00B216B3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A87D" w14:textId="77777777" w:rsidR="00B216B3" w:rsidRDefault="00B216B3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B082" w14:textId="77777777" w:rsidR="00B216B3" w:rsidRDefault="00BB5D63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美國文學</w:t>
            </w:r>
            <w:r>
              <w:rPr>
                <w:rFonts w:eastAsia="標楷體"/>
                <w:sz w:val="20"/>
                <w:szCs w:val="20"/>
              </w:rPr>
              <w:t>1865</w:t>
            </w:r>
            <w:r>
              <w:rPr>
                <w:rFonts w:eastAsia="標楷體"/>
                <w:sz w:val="20"/>
                <w:szCs w:val="20"/>
              </w:rPr>
              <w:t>以後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30B0" w14:textId="77777777" w:rsidR="00B216B3" w:rsidRDefault="00BB5D63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9207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D1F6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A5C8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B43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4B3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6D0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1B7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7D44077D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724A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5F12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F561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5AC9" w14:textId="767690CE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美國文學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B4FA" w14:textId="3D9E2526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9A23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F6DA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BD46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E320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FB0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CC95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461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243EE3CB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8525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BEBF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8B37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910E" w14:textId="77777777" w:rsidR="00417C5A" w:rsidRDefault="00417C5A" w:rsidP="00417C5A">
            <w:pPr>
              <w:snapToGrid w:val="0"/>
              <w:ind w:left="-101" w:right="-91"/>
            </w:pPr>
            <w:r>
              <w:rPr>
                <w:rFonts w:eastAsia="標楷體"/>
                <w:kern w:val="0"/>
                <w:sz w:val="20"/>
                <w:szCs w:val="20"/>
              </w:rPr>
              <w:t>【英輔】英美文學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71EB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282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1E16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26CF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8D7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00C1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A7D5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674D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79FF0A92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98E5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06129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1ED0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選修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DEE3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從文化看世界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95B0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580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FAC0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702A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E1F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5B8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77B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CFF7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7C3A0473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8D0F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4268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4DF8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1A28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從文學看世界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3C22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C8C1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7D3D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60E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6726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EABA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DE2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40E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5178914C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B4A0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39E9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8D0A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99F7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西洋文學概論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70B2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3FF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F43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B36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8DAB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B581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14A4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BE4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5B377044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FE15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2D91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E785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BCF8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西洋文學：</w:t>
            </w:r>
          </w:p>
          <w:p w14:paraId="7D6E6642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中古時期及文藝復興時期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EEF6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D05F1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DFB1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6DED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1B20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A888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283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B401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7A65C16E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BBBD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3618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4168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3B61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詩歌選讀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B0CF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D45B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9B20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DC0A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350F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80F3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D7E6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6281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21199279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9F9C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E6E3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4351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64C0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小說選讀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E9ED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EA35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ED89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8B65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6760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A4D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AE1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9EB6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0"/>
              </w:rPr>
            </w:pPr>
          </w:p>
        </w:tc>
      </w:tr>
      <w:tr w:rsidR="00417C5A" w14:paraId="09A4B594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E413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AEFA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933F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BD56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戲劇選讀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8A59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46C8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474F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AE0A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97B7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1868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7DA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0745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17D197BA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9FE2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6A45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AE00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F863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劇場實務概論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C541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3FE8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7355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6BBA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B555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53E5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661D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2BF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4E7CA08C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7623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0611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7C7D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97BB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聖經與文學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D65A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E002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819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DC17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0C22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3E1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5E6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2D59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7D5EAEB3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064F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CA50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08B9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7ABF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文學與電影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D904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29F2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0B4C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290C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5AF2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C87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1D54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0903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0A9CB4F6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F779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ACE9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12DB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157A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莎士比亞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D2D2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9289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8038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8DC8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F64B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5D68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4789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03B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503980DB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E70F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EBF0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2696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71E82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歐洲文學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4F26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2A44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34CA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0B2A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25AB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020B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0936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0C59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18D1EC84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392F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A1EE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09D9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69E7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創傷文學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92DF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383A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B9ED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7D0E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789F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533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1F14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2CE3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65159F59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34BB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CD4A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642D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F972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科幻小說與奇幻文學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8837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A536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CC6E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5A33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1FE3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FFC7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28E1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2F0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5CB17F1B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F7D2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E8A3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9BA4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C807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現代小說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B280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9904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F0FD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FF23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CAD7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6DF4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E6F0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28A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47B7DA24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07C0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1B88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EE86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5468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近代英文小說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0FCB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BBE1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9E79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6BFC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8F31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332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2029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A46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6E60ACB5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6A2C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04AE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7A3B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D5F2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現代詩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5458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8CFB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714A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2AAD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265C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6679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FBA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6139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02A20377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9644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6194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516B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49DD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現代戲劇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94E1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3D4E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8A56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FD81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05CB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24F9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3155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71A8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431DD56F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A002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33E9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518F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7B3F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文化研究概論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DE61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F572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F7D1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1239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F3F2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3937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FCED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D301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2F2953FA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D7C4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6F3D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6CBA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CEE6" w14:textId="77777777" w:rsidR="00417C5A" w:rsidRDefault="00417C5A" w:rsidP="00417C5A">
            <w:pPr>
              <w:snapToGrid w:val="0"/>
              <w:ind w:left="-101" w:right="-91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文學理論與批評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114B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3C85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7EB9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7932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1B8C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C663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BFD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BEC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1FC1D929" w14:textId="77777777">
        <w:trPr>
          <w:trHeight w:val="454"/>
        </w:trPr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7CAE" w14:textId="77777777" w:rsidR="00417C5A" w:rsidRDefault="00417C5A" w:rsidP="00417C5A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英語教學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F766" w14:textId="77777777" w:rsidR="00417C5A" w:rsidRDefault="00417C5A" w:rsidP="00417C5A">
            <w:pPr>
              <w:snapToGrid w:val="0"/>
              <w:spacing w:line="40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FC3D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選修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977C" w14:textId="77777777" w:rsidR="00417C5A" w:rsidRDefault="00417C5A" w:rsidP="00417C5A">
            <w:pPr>
              <w:snapToGrid w:val="0"/>
              <w:ind w:left="-101" w:right="-9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語言學習導論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5C64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5B57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11EB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1AD8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AC55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06E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C2F3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BC9F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0EFC47DB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B29D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29A2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FFEB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D2EE" w14:textId="77777777" w:rsidR="00417C5A" w:rsidRDefault="00417C5A" w:rsidP="00417C5A">
            <w:pPr>
              <w:snapToGrid w:val="0"/>
              <w:ind w:left="-101" w:right="-9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英語教學理論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D845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8072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63CA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1612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9AA3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40D9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9261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935F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694ED78F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53B4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149B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4DA9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0D95" w14:textId="77777777" w:rsidR="00417C5A" w:rsidRDefault="00417C5A" w:rsidP="00417C5A">
            <w:pPr>
              <w:snapToGrid w:val="0"/>
              <w:ind w:left="-101" w:right="-9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英語教學實務專題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E805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C7F4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C810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E149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6E55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9149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98A1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1CAD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7815BD5F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8A6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4CA4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0FA3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B4CF" w14:textId="77777777" w:rsidR="00417C5A" w:rsidRDefault="00417C5A" w:rsidP="00417C5A">
            <w:pPr>
              <w:snapToGrid w:val="0"/>
              <w:ind w:left="-101" w:right="-9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語言測驗與評量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45D0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0385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DFAE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F24D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3083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08C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8567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8DA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337B32E2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E70F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2CE6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5688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96" w14:textId="77777777" w:rsidR="00417C5A" w:rsidRDefault="00417C5A" w:rsidP="00417C5A">
            <w:pPr>
              <w:snapToGrid w:val="0"/>
              <w:ind w:left="-101" w:right="-9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英文字彙教學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58D6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DF4F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C42C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AA18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39F4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1A4E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2C48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8912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0A4AB243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DC8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B589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17F9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5EB6" w14:textId="77777777" w:rsidR="00417C5A" w:rsidRDefault="00417C5A" w:rsidP="00417C5A">
            <w:pPr>
              <w:snapToGrid w:val="0"/>
              <w:ind w:left="-101" w:right="-91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英語教學與社群媒體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28E2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4BDB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DDD0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3274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6755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DD87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5FFC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F527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63CA8D95" w14:textId="77777777">
        <w:trPr>
          <w:trHeight w:val="454"/>
        </w:trPr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66B0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7089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28AF" w14:textId="77777777" w:rsidR="00417C5A" w:rsidRDefault="00417C5A" w:rsidP="00417C5A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B782" w14:textId="77777777" w:rsidR="00417C5A" w:rsidRDefault="00417C5A" w:rsidP="00417C5A">
            <w:pPr>
              <w:snapToGrid w:val="0"/>
              <w:ind w:left="-7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電腦輔助語言教學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F2B0" w14:textId="77777777" w:rsidR="00417C5A" w:rsidRDefault="00417C5A" w:rsidP="00417C5A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F21A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90B6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519C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B00E" w14:textId="77777777" w:rsidR="00417C5A" w:rsidRDefault="00417C5A" w:rsidP="00417C5A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CF84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F145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905A" w14:textId="77777777" w:rsidR="00417C5A" w:rsidRDefault="00417C5A" w:rsidP="00417C5A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417C5A" w14:paraId="4883B5D9" w14:textId="77777777">
        <w:trPr>
          <w:trHeight w:val="405"/>
        </w:trPr>
        <w:tc>
          <w:tcPr>
            <w:tcW w:w="10514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7281" w14:textId="77777777" w:rsidR="00417C5A" w:rsidRDefault="00417C5A" w:rsidP="00417C5A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必修：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_________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學分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選修：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___________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學分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合計：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_________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學分</w:t>
            </w:r>
          </w:p>
        </w:tc>
      </w:tr>
      <w:tr w:rsidR="00417C5A" w14:paraId="702F3DAB" w14:textId="77777777">
        <w:trPr>
          <w:trHeight w:val="396"/>
        </w:trPr>
        <w:tc>
          <w:tcPr>
            <w:tcW w:w="10514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0C0" w14:textId="77777777" w:rsidR="00417C5A" w:rsidRDefault="00417C5A" w:rsidP="00417C5A">
            <w:pPr>
              <w:jc w:val="center"/>
            </w:pPr>
            <w:r>
              <w:rPr>
                <w:rFonts w:eastAsia="標楷體"/>
                <w:b/>
                <w:szCs w:val="28"/>
              </w:rPr>
              <w:t>說明</w:t>
            </w:r>
          </w:p>
        </w:tc>
      </w:tr>
      <w:tr w:rsidR="00417C5A" w14:paraId="6DAA3834" w14:textId="77777777">
        <w:trPr>
          <w:trHeight w:val="2950"/>
        </w:trPr>
        <w:tc>
          <w:tcPr>
            <w:tcW w:w="10514" w:type="dxa"/>
            <w:gridSpan w:val="1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B624" w14:textId="77777777" w:rsidR="00417C5A" w:rsidRDefault="00417C5A" w:rsidP="00417C5A">
            <w:pPr>
              <w:pStyle w:val="aa"/>
              <w:numPr>
                <w:ilvl w:val="0"/>
                <w:numId w:val="10"/>
              </w:num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師資培育之大學規劃科目須依據「十二年國民基本教育課程綱要」內涵訂定。</w:t>
            </w:r>
          </w:p>
          <w:p w14:paraId="29216802" w14:textId="77777777" w:rsidR="00417C5A" w:rsidRDefault="00417C5A" w:rsidP="00417C5A">
            <w:pPr>
              <w:pStyle w:val="aa"/>
              <w:numPr>
                <w:ilvl w:val="0"/>
                <w:numId w:val="10"/>
              </w:num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本表要求應修畢最低總學分數40學分(含)，主修專長課程請依照各課程類別最低學分數規劃修習(英語文溝通能力12學分，語言學10學分，文學8學分，英語教學6學分)。</w:t>
            </w:r>
          </w:p>
          <w:p w14:paraId="019FE1E8" w14:textId="77777777" w:rsidR="00417C5A" w:rsidRDefault="00417C5A" w:rsidP="00417C5A">
            <w:pPr>
              <w:pStyle w:val="aa"/>
              <w:numPr>
                <w:ilvl w:val="0"/>
                <w:numId w:val="10"/>
              </w:numPr>
              <w:snapToGrid w:val="0"/>
              <w:spacing w:line="400" w:lineRule="atLeast"/>
            </w:pPr>
            <w:r>
              <w:rPr>
                <w:rFonts w:ascii="標楷體" w:eastAsia="標楷體" w:hAnsi="標楷體"/>
                <w:szCs w:val="24"/>
              </w:rPr>
              <w:t>修習本專門課程者，應取得符合相當於歐洲語言學習、教學、評量共同參考架構(Common European Framework of Reference for Languages: Learning, teaching, assessment，簡稱CEFR) B2級（含）以上英語相關考試檢定及格證書，請參照111學年度起修習「高級中等學校英文科」、「國民中學語 文學習領域英語專長」、「中等學校語文領域英語文專長」師資生，應取得B2級以上英文檢定證明，且須包含聽、說、讀、寫4項檢測。如有缺漏仍需補足該項成績，該證書無年限之限制。</w:t>
            </w:r>
          </w:p>
        </w:tc>
      </w:tr>
    </w:tbl>
    <w:p w14:paraId="363B0234" w14:textId="77777777" w:rsidR="00B216B3" w:rsidRDefault="00BB5D63">
      <w:r>
        <w:rPr>
          <w:rFonts w:eastAsia="標楷體"/>
          <w:b/>
          <w:sz w:val="28"/>
          <w:szCs w:val="28"/>
        </w:rPr>
        <w:t xml:space="preserve"> </w:t>
      </w:r>
      <w:r>
        <w:rPr>
          <w:rFonts w:ascii="新細明體" w:hAnsi="新細明體" w:cs="新細明體"/>
          <w:b/>
          <w:sz w:val="28"/>
          <w:szCs w:val="28"/>
        </w:rPr>
        <w:t>◎</w:t>
      </w:r>
      <w:r>
        <w:rPr>
          <w:rFonts w:eastAsia="標楷體"/>
          <w:b/>
          <w:sz w:val="28"/>
          <w:szCs w:val="28"/>
        </w:rPr>
        <w:t>繳交本表時，請將</w:t>
      </w:r>
      <w:r>
        <w:rPr>
          <w:rFonts w:eastAsia="標楷體"/>
          <w:b/>
          <w:sz w:val="28"/>
          <w:szCs w:val="28"/>
          <w:u w:val="single"/>
        </w:rPr>
        <w:t>成績單正本</w:t>
      </w:r>
      <w:r>
        <w:rPr>
          <w:rFonts w:eastAsia="標楷體"/>
          <w:b/>
          <w:sz w:val="28"/>
          <w:szCs w:val="28"/>
        </w:rPr>
        <w:t>裝訂於後。</w:t>
      </w:r>
    </w:p>
    <w:p w14:paraId="10D045B5" w14:textId="77777777" w:rsidR="00B216B3" w:rsidRDefault="00B216B3">
      <w:pPr>
        <w:pageBreakBefore/>
        <w:widowControl/>
        <w:suppressAutoHyphens w:val="0"/>
        <w:rPr>
          <w:sz w:val="28"/>
          <w:szCs w:val="28"/>
        </w:rPr>
      </w:pPr>
    </w:p>
    <w:p w14:paraId="210EE8CD" w14:textId="77777777" w:rsidR="00B216B3" w:rsidRDefault="00B216B3"/>
    <w:tbl>
      <w:tblPr>
        <w:tblW w:w="9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2177"/>
        <w:gridCol w:w="2143"/>
        <w:gridCol w:w="2348"/>
      </w:tblGrid>
      <w:tr w:rsidR="009D486F" w14:paraId="433B64CA" w14:textId="77777777" w:rsidTr="009D486F">
        <w:trPr>
          <w:trHeight w:val="250"/>
        </w:trPr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D537" w14:textId="77777777" w:rsidR="009D486F" w:rsidRDefault="009D486F">
            <w:pPr>
              <w:jc w:val="center"/>
              <w:rPr>
                <w:rFonts w:eastAsia="標楷體"/>
                <w:b/>
                <w:kern w:val="0"/>
                <w:sz w:val="20"/>
              </w:rPr>
            </w:pPr>
            <w:r>
              <w:rPr>
                <w:rFonts w:eastAsia="標楷體"/>
                <w:b/>
                <w:kern w:val="0"/>
                <w:sz w:val="20"/>
              </w:rPr>
              <w:t>英文系系主任簽章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8986" w14:textId="77777777" w:rsidR="009D486F" w:rsidRDefault="009D486F">
            <w:pPr>
              <w:jc w:val="center"/>
              <w:rPr>
                <w:rFonts w:eastAsia="標楷體"/>
                <w:b/>
                <w:kern w:val="0"/>
                <w:sz w:val="20"/>
              </w:rPr>
            </w:pPr>
            <w:r>
              <w:rPr>
                <w:rFonts w:eastAsia="標楷體"/>
                <w:b/>
                <w:kern w:val="0"/>
                <w:sz w:val="20"/>
              </w:rPr>
              <w:t>認定學分數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66482" w14:textId="7007A56A" w:rsidR="009D486F" w:rsidRDefault="009D486F" w:rsidP="009D486F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英檢級數或成績</w:t>
            </w:r>
          </w:p>
        </w:tc>
        <w:tc>
          <w:tcPr>
            <w:tcW w:w="23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E51F" w14:textId="0C2956DF" w:rsidR="009D486F" w:rsidRDefault="009D486F">
            <w:r>
              <w:rPr>
                <w:rFonts w:ascii="標楷體" w:eastAsia="標楷體" w:hAnsi="標楷體"/>
                <w:b/>
                <w:kern w:val="0"/>
                <w:sz w:val="20"/>
              </w:rPr>
              <w:t>□</w:t>
            </w:r>
            <w:r>
              <w:rPr>
                <w:rFonts w:eastAsia="標楷體"/>
                <w:b/>
                <w:kern w:val="0"/>
                <w:sz w:val="20"/>
              </w:rPr>
              <w:t>本科合格</w:t>
            </w:r>
          </w:p>
          <w:p w14:paraId="5C83B173" w14:textId="77777777" w:rsidR="009D486F" w:rsidRDefault="009D486F">
            <w:r>
              <w:rPr>
                <w:rFonts w:ascii="標楷體" w:eastAsia="標楷體" w:hAnsi="標楷體"/>
                <w:b/>
                <w:kern w:val="0"/>
                <w:sz w:val="20"/>
              </w:rPr>
              <w:t>□</w:t>
            </w:r>
            <w:r>
              <w:rPr>
                <w:rFonts w:eastAsia="標楷體"/>
                <w:b/>
                <w:kern w:val="0"/>
                <w:sz w:val="20"/>
              </w:rPr>
              <w:t>本科未合格</w:t>
            </w:r>
          </w:p>
        </w:tc>
      </w:tr>
      <w:tr w:rsidR="009D486F" w14:paraId="1B75C965" w14:textId="77777777" w:rsidTr="009D486F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7552" w14:textId="77777777" w:rsidR="009D486F" w:rsidRDefault="009D486F">
            <w:pPr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9FC3" w14:textId="77777777" w:rsidR="009D486F" w:rsidRDefault="009D486F">
            <w:pPr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3CB651" w14:textId="77777777" w:rsidR="009D486F" w:rsidRDefault="009D486F">
            <w:pPr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AE92" w14:textId="0F7A8B3F" w:rsidR="009D486F" w:rsidRDefault="009D486F">
            <w:pPr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</w:tbl>
    <w:p w14:paraId="10BBDD91" w14:textId="77777777" w:rsidR="00B216B3" w:rsidRDefault="00B216B3">
      <w:pPr>
        <w:ind w:right="560"/>
        <w:jc w:val="right"/>
        <w:rPr>
          <w:rFonts w:eastAsia="標楷體"/>
          <w:b/>
          <w:sz w:val="28"/>
          <w:szCs w:val="28"/>
        </w:rPr>
      </w:pPr>
    </w:p>
    <w:tbl>
      <w:tblPr>
        <w:tblW w:w="10451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4"/>
        <w:gridCol w:w="1910"/>
        <w:gridCol w:w="877"/>
        <w:gridCol w:w="1565"/>
        <w:gridCol w:w="877"/>
        <w:gridCol w:w="534"/>
        <w:gridCol w:w="534"/>
        <w:gridCol w:w="1221"/>
        <w:gridCol w:w="1221"/>
        <w:gridCol w:w="878"/>
      </w:tblGrid>
      <w:tr w:rsidR="00B216B3" w14:paraId="7F0D21ED" w14:textId="77777777">
        <w:tc>
          <w:tcPr>
            <w:tcW w:w="713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CE28" w14:textId="77777777" w:rsidR="00B216B3" w:rsidRDefault="00BB5D63">
            <w:pPr>
              <w:jc w:val="center"/>
            </w:pPr>
            <w:r>
              <w:rPr>
                <w:rFonts w:eastAsia="標楷體"/>
                <w:b/>
                <w:kern w:val="0"/>
              </w:rPr>
              <w:t>教育學分認定欄</w:t>
            </w:r>
            <w:r>
              <w:rPr>
                <w:rFonts w:eastAsia="標楷體"/>
                <w:b/>
                <w:kern w:val="0"/>
              </w:rPr>
              <w:t xml:space="preserve"> (</w:t>
            </w:r>
            <w:r>
              <w:rPr>
                <w:rFonts w:eastAsia="標楷體"/>
                <w:kern w:val="0"/>
              </w:rPr>
              <w:t>由學生確實填寫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33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9D23" w14:textId="77777777" w:rsidR="00B216B3" w:rsidRDefault="00BB5D63">
            <w:pPr>
              <w:jc w:val="center"/>
            </w:pPr>
            <w:r>
              <w:rPr>
                <w:rFonts w:eastAsia="標楷體"/>
                <w:b/>
                <w:kern w:val="0"/>
              </w:rPr>
              <w:t>審核欄</w:t>
            </w:r>
            <w:r>
              <w:rPr>
                <w:rFonts w:eastAsia="標楷體"/>
                <w:b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審核人員填寫</w:t>
            </w:r>
            <w:r>
              <w:rPr>
                <w:rFonts w:eastAsia="標楷體"/>
                <w:kern w:val="0"/>
              </w:rPr>
              <w:t>)</w:t>
            </w:r>
          </w:p>
        </w:tc>
      </w:tr>
      <w:tr w:rsidR="00B216B3" w14:paraId="339C43C7" w14:textId="77777777">
        <w:trPr>
          <w:trHeight w:val="20"/>
        </w:trPr>
        <w:tc>
          <w:tcPr>
            <w:tcW w:w="274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759D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規定專門科目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CCE5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4441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已修習專門科目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745C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EC46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成績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2733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可採認學分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AD6B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審核人簽章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85D7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備註</w:t>
            </w:r>
          </w:p>
        </w:tc>
      </w:tr>
      <w:tr w:rsidR="00B216B3" w14:paraId="1134A248" w14:textId="77777777">
        <w:trPr>
          <w:trHeight w:val="90"/>
        </w:trPr>
        <w:tc>
          <w:tcPr>
            <w:tcW w:w="274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E564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D45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E5FB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AC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8DF8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11C7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下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B8FE" w14:textId="77777777" w:rsidR="00B216B3" w:rsidRDefault="00B216B3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9681" w14:textId="77777777" w:rsidR="00B216B3" w:rsidRDefault="00B216B3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AF79" w14:textId="77777777" w:rsidR="00B216B3" w:rsidRDefault="00B216B3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B216B3" w14:paraId="0D6BF724" w14:textId="77777777">
        <w:trPr>
          <w:trHeight w:val="368"/>
        </w:trPr>
        <w:tc>
          <w:tcPr>
            <w:tcW w:w="8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5828" w14:textId="77777777" w:rsidR="00B216B3" w:rsidRDefault="00BB5D63">
            <w:pPr>
              <w:jc w:val="center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/>
                <w:kern w:val="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D29F" w14:textId="77777777" w:rsidR="00B216B3" w:rsidRDefault="00BB5D63">
            <w:pPr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>
              <w:rPr>
                <w:rFonts w:eastAsia="標楷體"/>
                <w:kern w:val="0"/>
                <w:sz w:val="18"/>
                <w:szCs w:val="18"/>
              </w:rPr>
              <w:t>分科教材教法與實習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DA4D" w14:textId="77777777" w:rsidR="00B216B3" w:rsidRDefault="00BB5D63">
            <w:pPr>
              <w:jc w:val="center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/>
                <w:kern w:val="0"/>
                <w:sz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B32E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EB8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E27A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37E3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E9F1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7A4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94D8" w14:textId="77777777" w:rsidR="00B216B3" w:rsidRDefault="00BB5D63">
            <w:pPr>
              <w:jc w:val="center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/>
                <w:kern w:val="0"/>
                <w:sz w:val="20"/>
              </w:rPr>
              <w:t>必備</w:t>
            </w:r>
          </w:p>
        </w:tc>
      </w:tr>
    </w:tbl>
    <w:p w14:paraId="01F4DD4C" w14:textId="77777777" w:rsidR="00B216B3" w:rsidRDefault="00B216B3">
      <w:pPr>
        <w:rPr>
          <w:rFonts w:eastAsia="標楷體"/>
        </w:rPr>
      </w:pPr>
    </w:p>
    <w:tbl>
      <w:tblPr>
        <w:tblW w:w="5425" w:type="dxa"/>
        <w:tblInd w:w="50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3"/>
        <w:gridCol w:w="2712"/>
      </w:tblGrid>
      <w:tr w:rsidR="00B216B3" w14:paraId="58071EBC" w14:textId="77777777"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6F72" w14:textId="77777777" w:rsidR="00B216B3" w:rsidRDefault="00BB5D63">
            <w:pPr>
              <w:jc w:val="center"/>
              <w:rPr>
                <w:rFonts w:eastAsia="標楷體"/>
                <w:b/>
                <w:kern w:val="0"/>
                <w:sz w:val="20"/>
              </w:rPr>
            </w:pPr>
            <w:r>
              <w:rPr>
                <w:rFonts w:eastAsia="標楷體"/>
                <w:b/>
                <w:kern w:val="0"/>
                <w:sz w:val="20"/>
              </w:rPr>
              <w:t>師資培育中心主任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4328" w14:textId="77777777" w:rsidR="00B216B3" w:rsidRDefault="00BB5D63">
            <w:pPr>
              <w:jc w:val="center"/>
              <w:rPr>
                <w:rFonts w:eastAsia="標楷體"/>
                <w:b/>
                <w:kern w:val="0"/>
                <w:sz w:val="20"/>
              </w:rPr>
            </w:pPr>
            <w:r>
              <w:rPr>
                <w:rFonts w:eastAsia="標楷體"/>
                <w:b/>
                <w:kern w:val="0"/>
                <w:sz w:val="20"/>
              </w:rPr>
              <w:t>師資培育中心承辦人</w:t>
            </w:r>
          </w:p>
        </w:tc>
      </w:tr>
      <w:tr w:rsidR="00B216B3" w14:paraId="4E72D371" w14:textId="77777777">
        <w:trPr>
          <w:trHeight w:val="737"/>
        </w:trPr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FDE5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0DBC" w14:textId="77777777" w:rsidR="00B216B3" w:rsidRDefault="00B216B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</w:tbl>
    <w:p w14:paraId="26267057" w14:textId="77777777" w:rsidR="00B216B3" w:rsidRDefault="00BB5D63">
      <w:pPr>
        <w:pageBreakBefore/>
        <w:snapToGrid w:val="0"/>
        <w:jc w:val="center"/>
      </w:pPr>
      <w:r>
        <w:rPr>
          <w:rFonts w:eastAsia="標楷體"/>
          <w:b/>
          <w:sz w:val="32"/>
          <w:szCs w:val="32"/>
          <w:lang w:eastAsia="zh-HK"/>
        </w:rPr>
        <w:lastRenderedPageBreak/>
        <w:t>中等學校語文領域</w:t>
      </w:r>
      <w:r>
        <w:rPr>
          <w:rFonts w:eastAsia="標楷體"/>
          <w:b/>
          <w:sz w:val="32"/>
          <w:szCs w:val="32"/>
        </w:rPr>
        <w:t>英語</w:t>
      </w:r>
      <w:r>
        <w:rPr>
          <w:rFonts w:eastAsia="標楷體"/>
          <w:b/>
          <w:sz w:val="32"/>
          <w:szCs w:val="32"/>
          <w:lang w:eastAsia="zh-HK"/>
        </w:rPr>
        <w:t>文</w:t>
      </w:r>
      <w:r>
        <w:rPr>
          <w:rFonts w:eastAsia="標楷體"/>
          <w:b/>
          <w:sz w:val="32"/>
          <w:szCs w:val="32"/>
        </w:rPr>
        <w:t>專長符合相當於</w:t>
      </w:r>
      <w:r>
        <w:rPr>
          <w:rFonts w:eastAsia="標楷體"/>
          <w:b/>
          <w:sz w:val="32"/>
          <w:szCs w:val="32"/>
        </w:rPr>
        <w:t>CEFR</w:t>
      </w:r>
      <w:r>
        <w:rPr>
          <w:rFonts w:eastAsia="標楷體"/>
          <w:b/>
          <w:sz w:val="32"/>
          <w:szCs w:val="32"/>
        </w:rPr>
        <w:t>語言參考架構</w:t>
      </w:r>
      <w:r>
        <w:rPr>
          <w:rFonts w:eastAsia="標楷體"/>
          <w:b/>
          <w:sz w:val="32"/>
          <w:szCs w:val="32"/>
        </w:rPr>
        <w:t>B2</w:t>
      </w:r>
      <w:r>
        <w:rPr>
          <w:rFonts w:eastAsia="標楷體"/>
          <w:b/>
          <w:sz w:val="32"/>
          <w:szCs w:val="32"/>
        </w:rPr>
        <w:t>級之各項英語檢定考試標準參照表</w:t>
      </w:r>
    </w:p>
    <w:p w14:paraId="2BB08EBA" w14:textId="77777777" w:rsidR="00B216B3" w:rsidRDefault="00BB5D63">
      <w:pPr>
        <w:snapToGrid w:val="0"/>
        <w:jc w:val="center"/>
        <w:outlineLvl w:val="1"/>
        <w:rPr>
          <w:rFonts w:eastAsia="標楷體"/>
          <w:iCs/>
        </w:rPr>
      </w:pPr>
      <w:r>
        <w:rPr>
          <w:rFonts w:eastAsia="標楷體"/>
          <w:iCs/>
        </w:rPr>
        <w:t>Common European Framework of Reference for Languages: Learning, teaching, assessment</w:t>
      </w:r>
    </w:p>
    <w:p w14:paraId="2F60363C" w14:textId="77777777" w:rsidR="00B216B3" w:rsidRDefault="00BB5D63">
      <w:pPr>
        <w:snapToGrid w:val="0"/>
        <w:jc w:val="center"/>
        <w:outlineLvl w:val="1"/>
      </w:pPr>
      <w:r>
        <w:rPr>
          <w:rFonts w:eastAsia="標楷體"/>
          <w:iCs/>
        </w:rPr>
        <w:t xml:space="preserve"> (</w:t>
      </w:r>
      <w:r>
        <w:rPr>
          <w:rFonts w:eastAsia="標楷體"/>
          <w:iCs/>
        </w:rPr>
        <w:t>簡稱</w:t>
      </w:r>
      <w:r>
        <w:rPr>
          <w:rFonts w:eastAsia="標楷體"/>
          <w:iCs/>
        </w:rPr>
        <w:t>CEFR) B2</w:t>
      </w:r>
      <w:r>
        <w:rPr>
          <w:rFonts w:eastAsia="標楷體"/>
          <w:iCs/>
        </w:rPr>
        <w:t>級以上英語相關考試檢定及格證書</w:t>
      </w:r>
    </w:p>
    <w:p w14:paraId="190D6C46" w14:textId="77777777" w:rsidR="00B216B3" w:rsidRDefault="00BB5D63">
      <w:pPr>
        <w:snapToGrid w:val="0"/>
        <w:jc w:val="right"/>
        <w:outlineLvl w:val="1"/>
      </w:pPr>
      <w:r>
        <w:rPr>
          <w:rFonts w:eastAsia="標楷體"/>
          <w:b/>
          <w:iCs/>
          <w:kern w:val="0"/>
        </w:rPr>
        <w:t>(113.03.12</w:t>
      </w:r>
      <w:r>
        <w:rPr>
          <w:rFonts w:eastAsia="標楷體"/>
          <w:b/>
          <w:iCs/>
          <w:kern w:val="0"/>
        </w:rPr>
        <w:t>修正</w:t>
      </w:r>
      <w:r>
        <w:rPr>
          <w:rFonts w:eastAsia="標楷體"/>
          <w:b/>
          <w:iCs/>
          <w:kern w:val="0"/>
        </w:rPr>
        <w:t>)</w:t>
      </w:r>
    </w:p>
    <w:tbl>
      <w:tblPr>
        <w:tblW w:w="110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303"/>
        <w:gridCol w:w="1259"/>
        <w:gridCol w:w="5315"/>
      </w:tblGrid>
      <w:tr w:rsidR="00B216B3" w14:paraId="6F10E599" w14:textId="77777777">
        <w:trPr>
          <w:trHeight w:val="543"/>
          <w:jc w:val="center"/>
        </w:trPr>
        <w:tc>
          <w:tcPr>
            <w:tcW w:w="22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700E" w14:textId="77777777" w:rsidR="00B216B3" w:rsidRDefault="00BB5D63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考試名稱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8C86" w14:textId="77777777" w:rsidR="00B216B3" w:rsidRDefault="00BB5D63">
            <w:pPr>
              <w:snapToGrid w:val="0"/>
              <w:jc w:val="center"/>
            </w:pPr>
            <w:r>
              <w:rPr>
                <w:rFonts w:eastAsia="標楷體"/>
                <w:b/>
              </w:rPr>
              <w:t>符合相當於</w:t>
            </w:r>
            <w:r>
              <w:rPr>
                <w:rFonts w:eastAsia="標楷體"/>
                <w:b/>
              </w:rPr>
              <w:t>CEFR</w:t>
            </w:r>
            <w:r>
              <w:rPr>
                <w:rFonts w:eastAsia="標楷體"/>
                <w:b/>
              </w:rPr>
              <w:t>語言參考架構</w:t>
            </w:r>
            <w:r>
              <w:rPr>
                <w:rFonts w:eastAsia="標楷體"/>
                <w:b/>
              </w:rPr>
              <w:t>B2</w:t>
            </w:r>
            <w:r>
              <w:rPr>
                <w:rFonts w:eastAsia="標楷體"/>
                <w:b/>
              </w:rPr>
              <w:t>級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含</w:t>
            </w:r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  <w:b/>
              </w:rPr>
              <w:t>以上英語檢定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B670" w14:textId="77777777" w:rsidR="00B216B3" w:rsidRDefault="00BB5D63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考試項目</w:t>
            </w:r>
          </w:p>
        </w:tc>
        <w:tc>
          <w:tcPr>
            <w:tcW w:w="531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C4A7" w14:textId="77777777" w:rsidR="00B216B3" w:rsidRDefault="00BB5D63">
            <w:pPr>
              <w:snapToGrid w:val="0"/>
              <w:jc w:val="center"/>
            </w:pPr>
            <w:r>
              <w:rPr>
                <w:rFonts w:eastAsia="標楷體"/>
                <w:b/>
              </w:rPr>
              <w:t>備</w:t>
            </w: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/>
                <w:b/>
              </w:rPr>
              <w:t>註</w:t>
            </w:r>
          </w:p>
        </w:tc>
      </w:tr>
      <w:tr w:rsidR="00B216B3" w14:paraId="33CB198A" w14:textId="77777777">
        <w:trPr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21DA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全民英檢</w:t>
            </w:r>
            <w:r>
              <w:rPr>
                <w:rFonts w:eastAsia="標楷體"/>
              </w:rPr>
              <w:t>(GEPT)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B163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中高級複試通過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1348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95B5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可</w:t>
            </w:r>
            <w:r>
              <w:rPr>
                <w:rFonts w:eastAsia="標楷體"/>
                <w:lang w:eastAsia="zh-HK"/>
              </w:rPr>
              <w:t>擇</w:t>
            </w:r>
            <w:r>
              <w:rPr>
                <w:rFonts w:eastAsia="標楷體"/>
              </w:rPr>
              <w:t>下列任一方式報考：</w:t>
            </w:r>
          </w:p>
          <w:p w14:paraId="11CE37D1" w14:textId="77777777" w:rsidR="00B216B3" w:rsidRDefault="00BB5D63">
            <w:pPr>
              <w:numPr>
                <w:ilvl w:val="0"/>
                <w:numId w:val="1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兩階段考：「聽讀」成績通過後，考「說寫」。</w:t>
            </w:r>
          </w:p>
          <w:p w14:paraId="2F401888" w14:textId="77777777" w:rsidR="00B216B3" w:rsidRDefault="00BB5D63">
            <w:pPr>
              <w:numPr>
                <w:ilvl w:val="0"/>
                <w:numId w:val="1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一日考：「聽讀說寫」合併一天考完。</w:t>
            </w:r>
          </w:p>
          <w:p w14:paraId="48F9D772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</w:t>
            </w:r>
            <w:r>
              <w:rPr>
                <w:rFonts w:eastAsia="標楷體"/>
              </w:rPr>
              <w:t>LTTC</w:t>
            </w:r>
            <w:r>
              <w:rPr>
                <w:rFonts w:eastAsia="標楷體"/>
              </w:rPr>
              <w:t>財團法人語言訓練測驗中心。</w:t>
            </w:r>
          </w:p>
        </w:tc>
      </w:tr>
      <w:tr w:rsidR="00B216B3" w14:paraId="1BBFE00E" w14:textId="77777777">
        <w:trPr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96E8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外語能力測驗</w:t>
            </w:r>
            <w:r>
              <w:rPr>
                <w:rFonts w:eastAsia="標楷體"/>
              </w:rPr>
              <w:t>(FLPT)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F89B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筆試（含聽力、用法、字彙與閱讀）</w:t>
            </w:r>
            <w:r>
              <w:rPr>
                <w:rFonts w:eastAsia="標楷體"/>
              </w:rPr>
              <w:t>195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S-2+</w:t>
            </w:r>
          </w:p>
          <w:p w14:paraId="198A203D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寫作</w:t>
            </w:r>
            <w:r>
              <w:rPr>
                <w:rFonts w:eastAsia="標楷體"/>
              </w:rPr>
              <w:t>B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740A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8019" w14:textId="77777777" w:rsidR="00B216B3" w:rsidRDefault="00BB5D63">
            <w:pPr>
              <w:numPr>
                <w:ilvl w:val="0"/>
                <w:numId w:val="11"/>
              </w:numPr>
              <w:snapToGrid w:val="0"/>
              <w:jc w:val="both"/>
            </w:pPr>
            <w:r>
              <w:rPr>
                <w:rFonts w:eastAsia="標楷體"/>
              </w:rPr>
              <w:t>英語測驗分筆試（含聽力、用法、字彙與閱讀）、口試、寫作測驗。受理單項或多項合併報考。</w:t>
            </w:r>
          </w:p>
          <w:p w14:paraId="6749F81A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</w:t>
            </w:r>
            <w:r>
              <w:rPr>
                <w:rFonts w:eastAsia="標楷體"/>
              </w:rPr>
              <w:t>LTTC</w:t>
            </w:r>
            <w:r>
              <w:rPr>
                <w:rFonts w:eastAsia="標楷體"/>
              </w:rPr>
              <w:t>財團法人語言訓練測驗中心。</w:t>
            </w:r>
          </w:p>
        </w:tc>
      </w:tr>
      <w:tr w:rsidR="00B216B3" w14:paraId="5DEB0E40" w14:textId="77777777">
        <w:trPr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2E10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托福</w:t>
            </w:r>
            <w:proofErr w:type="spellStart"/>
            <w:r>
              <w:rPr>
                <w:rFonts w:eastAsia="標楷體"/>
              </w:rPr>
              <w:t>iBT</w:t>
            </w:r>
            <w:proofErr w:type="spellEnd"/>
            <w:r>
              <w:rPr>
                <w:rFonts w:eastAsia="標楷體"/>
              </w:rPr>
              <w:t>測驗</w:t>
            </w:r>
            <w:r>
              <w:rPr>
                <w:rFonts w:eastAsia="標楷體"/>
              </w:rPr>
              <w:br/>
              <w:t xml:space="preserve">  (</w:t>
            </w:r>
            <w:r>
              <w:rPr>
                <w:rFonts w:eastAsia="標楷體"/>
              </w:rPr>
              <w:t>網路型態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  <w:t xml:space="preserve">(TOEFL </w:t>
            </w:r>
            <w:proofErr w:type="spellStart"/>
            <w:r>
              <w:rPr>
                <w:rFonts w:eastAsia="標楷體"/>
              </w:rPr>
              <w:t>iBT</w:t>
            </w:r>
            <w:proofErr w:type="spellEnd"/>
            <w:r>
              <w:rPr>
                <w:rFonts w:eastAsia="標楷體"/>
              </w:rPr>
              <w:t>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DF66" w14:textId="77777777" w:rsidR="00B216B3" w:rsidRDefault="00BB5D63">
            <w:pPr>
              <w:snapToGrid w:val="0"/>
            </w:pPr>
            <w:r>
              <w:rPr>
                <w:rFonts w:eastAsia="標楷體"/>
                <w:b/>
                <w:shd w:val="clear" w:color="auto" w:fill="FFFFFF"/>
              </w:rPr>
              <w:t>2015</w:t>
            </w:r>
            <w:r>
              <w:rPr>
                <w:rFonts w:eastAsia="標楷體"/>
                <w:b/>
                <w:shd w:val="clear" w:color="auto" w:fill="FFFFFF"/>
                <w:lang w:eastAsia="zh-HK"/>
              </w:rPr>
              <w:t>年更新前</w:t>
            </w:r>
            <w:r>
              <w:rPr>
                <w:rFonts w:eastAsia="標楷體"/>
                <w:lang w:eastAsia="zh-HK"/>
              </w:rPr>
              <w:t>:</w:t>
            </w:r>
          </w:p>
          <w:p w14:paraId="20291FC0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21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22</w:t>
            </w:r>
          </w:p>
          <w:p w14:paraId="64B3DE77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23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21</w:t>
            </w:r>
          </w:p>
          <w:p w14:paraId="636A73A3" w14:textId="77777777" w:rsidR="00B216B3" w:rsidRDefault="00BB5D63">
            <w:pPr>
              <w:snapToGrid w:val="0"/>
            </w:pPr>
            <w:r>
              <w:rPr>
                <w:rFonts w:eastAsia="標楷體"/>
                <w:b/>
                <w:shd w:val="clear" w:color="auto" w:fill="FFFFFF"/>
              </w:rPr>
              <w:t>2015</w:t>
            </w:r>
            <w:r>
              <w:rPr>
                <w:rFonts w:eastAsia="標楷體"/>
                <w:b/>
                <w:shd w:val="clear" w:color="auto" w:fill="FFFFFF"/>
                <w:lang w:eastAsia="zh-HK"/>
              </w:rPr>
              <w:t>年</w:t>
            </w:r>
            <w:r>
              <w:rPr>
                <w:rFonts w:eastAsia="標楷體"/>
                <w:b/>
                <w:shd w:val="clear" w:color="auto" w:fill="FFFFFF"/>
                <w:lang w:eastAsia="zh-HK"/>
              </w:rPr>
              <w:t>(</w:t>
            </w:r>
            <w:r>
              <w:rPr>
                <w:rFonts w:eastAsia="標楷體"/>
                <w:b/>
                <w:shd w:val="clear" w:color="auto" w:fill="FFFFFF"/>
                <w:lang w:eastAsia="zh-HK"/>
              </w:rPr>
              <w:t>含</w:t>
            </w:r>
            <w:r>
              <w:rPr>
                <w:rFonts w:eastAsia="標楷體"/>
                <w:b/>
                <w:shd w:val="clear" w:color="auto" w:fill="FFFFFF"/>
                <w:lang w:eastAsia="zh-HK"/>
              </w:rPr>
              <w:t>)</w:t>
            </w:r>
            <w:r>
              <w:rPr>
                <w:rFonts w:eastAsia="標楷體"/>
                <w:b/>
                <w:shd w:val="clear" w:color="auto" w:fill="FFFFFF"/>
                <w:lang w:eastAsia="zh-HK"/>
              </w:rPr>
              <w:t>更新後</w:t>
            </w:r>
            <w:r>
              <w:rPr>
                <w:rFonts w:eastAsia="標楷體"/>
              </w:rPr>
              <w:t>:</w:t>
            </w:r>
          </w:p>
          <w:p w14:paraId="05E33073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17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18</w:t>
            </w:r>
          </w:p>
          <w:p w14:paraId="77C66565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17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C7AF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3EF1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無分項考試。</w:t>
            </w:r>
          </w:p>
          <w:p w14:paraId="447C907F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14:paraId="79C0362B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</w:t>
            </w:r>
            <w:r>
              <w:rPr>
                <w:rFonts w:eastAsia="標楷體"/>
              </w:rPr>
              <w:t>ETS</w:t>
            </w:r>
            <w:r>
              <w:rPr>
                <w:rFonts w:eastAsia="標楷體"/>
              </w:rPr>
              <w:t>臺灣區代表忠欣股份有限公司。</w:t>
            </w:r>
            <w:r>
              <w:t>http://www.toefl.com.tw/newpdf/CEFR%20TOEFL_20160127.pdf</w:t>
            </w:r>
          </w:p>
        </w:tc>
      </w:tr>
      <w:tr w:rsidR="00B216B3" w14:paraId="1DC737D8" w14:textId="77777777">
        <w:trPr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8631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雅思</w:t>
            </w:r>
            <w:r>
              <w:rPr>
                <w:rFonts w:eastAsia="標楷體"/>
              </w:rPr>
              <w:t>(IELTS)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D093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5.5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A23E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14B2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無分項考試。</w:t>
            </w:r>
          </w:p>
          <w:p w14:paraId="60E3A0EB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資料參考：英國劍橋大學語言測評考試院。</w:t>
            </w:r>
          </w:p>
          <w:p w14:paraId="17A13050" w14:textId="77777777" w:rsidR="00B216B3" w:rsidRDefault="00BB5D63">
            <w:pPr>
              <w:snapToGrid w:val="0"/>
              <w:ind w:left="357"/>
            </w:pPr>
            <w:r>
              <w:t>https://www.ielts.org/about-ielts/ielts-in-cefr-scale</w:t>
            </w:r>
          </w:p>
        </w:tc>
      </w:tr>
      <w:tr w:rsidR="00B216B3" w14:paraId="4D5B81D0" w14:textId="77777777">
        <w:trPr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1795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劍橋五級國際英語認證</w:t>
            </w:r>
            <w:r>
              <w:rPr>
                <w:rFonts w:eastAsia="標楷體"/>
              </w:rPr>
              <w:t>(Cambridge English)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9F39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Cambridge English : First</w:t>
            </w:r>
          </w:p>
          <w:p w14:paraId="47F01D5B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(FCE)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091E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B4AA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無分項考試。</w:t>
            </w:r>
          </w:p>
          <w:p w14:paraId="449CC5C2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資料參考：英國劍橋大學語言測評考試院。</w:t>
            </w:r>
          </w:p>
        </w:tc>
      </w:tr>
      <w:tr w:rsidR="00B216B3" w14:paraId="0F861E6D" w14:textId="77777777">
        <w:trPr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D656" w14:textId="77777777" w:rsidR="00B216B3" w:rsidRDefault="00BB5D63">
            <w:pPr>
              <w:snapToGrid w:val="0"/>
            </w:pPr>
            <w:r>
              <w:rPr>
                <w:rFonts w:eastAsia="標楷體"/>
                <w:lang w:eastAsia="zh-HK"/>
              </w:rPr>
              <w:t>劍橋領思英語檢測</w:t>
            </w:r>
            <w:r>
              <w:rPr>
                <w:rFonts w:eastAsia="標楷體"/>
              </w:rPr>
              <w:t>(</w:t>
            </w:r>
            <w:proofErr w:type="spellStart"/>
            <w:r>
              <w:rPr>
                <w:rFonts w:eastAsia="標楷體"/>
              </w:rPr>
              <w:t>Linguaskill</w:t>
            </w:r>
            <w:proofErr w:type="spellEnd"/>
            <w:r>
              <w:rPr>
                <w:rFonts w:eastAsia="標楷體"/>
              </w:rPr>
              <w:t>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8FEA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160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C259" w14:textId="77777777" w:rsidR="00B216B3" w:rsidRDefault="00BB5D63">
            <w:pPr>
              <w:snapToGrid w:val="0"/>
            </w:pPr>
            <w:r>
              <w:rPr>
                <w:rFonts w:eastAsia="標楷體"/>
                <w:lang w:eastAsia="zh-HK"/>
              </w:rPr>
              <w:t>聽說讀寫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AEF8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  <w:lang w:eastAsia="zh-HK"/>
              </w:rPr>
              <w:t>分項測驗：聽讀測驗、口說測驗、寫作測驗</w:t>
            </w:r>
          </w:p>
          <w:p w14:paraId="611C2361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資料參考：</w:t>
            </w:r>
            <w:r>
              <w:rPr>
                <w:rFonts w:eastAsia="標楷體"/>
                <w:lang w:eastAsia="zh-HK"/>
              </w:rPr>
              <w:t>劍橋領思英語檢測</w:t>
            </w:r>
            <w:r>
              <w:t xml:space="preserve"> https://www.lsenglish.com.tw/test_cefr.php</w:t>
            </w:r>
          </w:p>
        </w:tc>
      </w:tr>
      <w:tr w:rsidR="00B216B3" w14:paraId="4189AAA9" w14:textId="77777777">
        <w:trPr>
          <w:trHeight w:val="629"/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FB70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劍橋博思職場英語檢測</w:t>
            </w:r>
            <w:r>
              <w:rPr>
                <w:rFonts w:eastAsia="標楷體"/>
              </w:rPr>
              <w:t>(BULATS)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C83C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The Association of Language Testers in Europe</w:t>
            </w:r>
          </w:p>
          <w:p w14:paraId="15F189C1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(ALTE) Level 3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706D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F217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聽、說、讀、寫可分項單考。</w:t>
            </w:r>
          </w:p>
          <w:p w14:paraId="04335D29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資料參考：英國劍橋大學語言測評考試院。</w:t>
            </w:r>
          </w:p>
        </w:tc>
      </w:tr>
      <w:tr w:rsidR="00B216B3" w14:paraId="0A576BC2" w14:textId="77777777">
        <w:trPr>
          <w:trHeight w:val="629"/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FB25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PTE</w:t>
            </w:r>
            <w:r>
              <w:rPr>
                <w:rFonts w:eastAsia="標楷體"/>
              </w:rPr>
              <w:t>學術英語考試</w:t>
            </w:r>
            <w:r>
              <w:rPr>
                <w:rFonts w:eastAsia="標楷體"/>
              </w:rPr>
              <w:t>(PTE-A)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ADE9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59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59</w:t>
            </w:r>
          </w:p>
          <w:p w14:paraId="3233739A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59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59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9802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8659" w14:textId="77777777" w:rsidR="00B216B3" w:rsidRDefault="00BB5D63">
            <w:pPr>
              <w:numPr>
                <w:ilvl w:val="0"/>
                <w:numId w:val="1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無分項考試。</w:t>
            </w:r>
          </w:p>
          <w:p w14:paraId="0DC90DD4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14:paraId="75243D7A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資料參考：台灣培生教育出版股份有限公司。</w:t>
            </w:r>
          </w:p>
        </w:tc>
      </w:tr>
      <w:tr w:rsidR="00B216B3" w14:paraId="4A9754A1" w14:textId="77777777">
        <w:trPr>
          <w:trHeight w:val="629"/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9D75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安格國際英檢測驗</w:t>
            </w:r>
            <w:r>
              <w:rPr>
                <w:rFonts w:eastAsia="標楷體"/>
              </w:rPr>
              <w:t>(Anglia)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833F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Advanced level</w:t>
            </w:r>
            <w:r>
              <w:rPr>
                <w:rFonts w:eastAsia="標楷體"/>
              </w:rPr>
              <w:t>中高級測驗須獲得</w:t>
            </w:r>
            <w:r>
              <w:rPr>
                <w:rFonts w:eastAsia="標楷體"/>
              </w:rPr>
              <w:t>PASS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 xml:space="preserve">MERIT 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DISTINCTION</w:t>
            </w:r>
            <w:r>
              <w:rPr>
                <w:rFonts w:eastAsia="標楷體"/>
              </w:rPr>
              <w:t>的成績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764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C017" w14:textId="77777777" w:rsidR="00B216B3" w:rsidRDefault="00BB5D63">
            <w:pPr>
              <w:numPr>
                <w:ilvl w:val="0"/>
                <w:numId w:val="1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「聽讀寫」合併考；「口說」為選考，不能單獨報考口說。</w:t>
            </w:r>
          </w:p>
          <w:p w14:paraId="1D420501" w14:textId="77777777" w:rsidR="00B216B3" w:rsidRDefault="00BB5D63">
            <w:pPr>
              <w:numPr>
                <w:ilvl w:val="0"/>
                <w:numId w:val="1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成績須符合</w:t>
            </w:r>
            <w:r>
              <w:rPr>
                <w:rFonts w:eastAsia="標楷體"/>
              </w:rPr>
              <w:t>PASS</w:t>
            </w:r>
            <w:r>
              <w:rPr>
                <w:rFonts w:eastAsia="標楷體"/>
              </w:rPr>
              <w:t>或以上成績。</w:t>
            </w:r>
          </w:p>
          <w:p w14:paraId="08C6B841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  <w:rPr>
                <w:rFonts w:eastAsia="標楷體"/>
              </w:rPr>
            </w:pPr>
            <w:r>
              <w:rPr>
                <w:rFonts w:eastAsia="標楷體"/>
              </w:rPr>
              <w:t>資料參考：英國安格國際英檢。</w:t>
            </w:r>
          </w:p>
        </w:tc>
      </w:tr>
      <w:tr w:rsidR="00B216B3" w14:paraId="13D8AE1F" w14:textId="77777777">
        <w:trPr>
          <w:trHeight w:val="510"/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751D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lastRenderedPageBreak/>
              <w:t>多益英語測驗</w:t>
            </w:r>
            <w:r>
              <w:rPr>
                <w:rFonts w:eastAsia="標楷體"/>
              </w:rPr>
              <w:t>(TOEIC)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9E18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400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385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E046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聽讀</w:t>
            </w:r>
            <w:r>
              <w:rPr>
                <w:rFonts w:eastAsia="標楷體"/>
                <w:b/>
              </w:rPr>
              <w:t>*</w:t>
            </w:r>
          </w:p>
          <w:p w14:paraId="3760CA4D" w14:textId="77777777" w:rsidR="00B216B3" w:rsidRDefault="00BB5D63">
            <w:pPr>
              <w:snapToGrid w:val="0"/>
            </w:pPr>
            <w:r>
              <w:rPr>
                <w:rFonts w:eastAsia="標楷體"/>
                <w:b/>
              </w:rPr>
              <w:t>需另補齊「說、寫」考試成績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C2E4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「聽、讀」合併考。</w:t>
            </w:r>
          </w:p>
          <w:p w14:paraId="376A7347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14:paraId="09D54B74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多益英語測驗字</w:t>
            </w:r>
            <w:r>
              <w:rPr>
                <w:rFonts w:eastAsia="標楷體"/>
              </w:rPr>
              <w:t>2008</w:t>
            </w:r>
            <w:r>
              <w:rPr>
                <w:rFonts w:eastAsia="標楷體"/>
              </w:rPr>
              <w:t>年全面改制後已無新制或傳統之分。</w:t>
            </w:r>
          </w:p>
          <w:p w14:paraId="56BC60C1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</w:t>
            </w:r>
            <w:r>
              <w:rPr>
                <w:rFonts w:eastAsia="標楷體"/>
              </w:rPr>
              <w:t>ETS</w:t>
            </w:r>
            <w:r>
              <w:rPr>
                <w:rFonts w:eastAsia="標楷體"/>
              </w:rPr>
              <w:t>臺灣區代表忠欣股份有限公司</w:t>
            </w:r>
            <w:r>
              <w:rPr>
                <w:rFonts w:eastAsia="標楷體"/>
              </w:rPr>
              <w:t>102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24</w:t>
            </w:r>
            <w:r>
              <w:rPr>
                <w:rFonts w:eastAsia="標楷體"/>
              </w:rPr>
              <w:t>日忠益</w:t>
            </w:r>
            <w:r>
              <w:rPr>
                <w:rFonts w:eastAsia="標楷體"/>
              </w:rPr>
              <w:t>102</w:t>
            </w: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>132</w:t>
            </w:r>
            <w:r>
              <w:rPr>
                <w:rFonts w:eastAsia="標楷體"/>
              </w:rPr>
              <w:t>號函修正。</w:t>
            </w:r>
          </w:p>
        </w:tc>
      </w:tr>
      <w:tr w:rsidR="00B216B3" w14:paraId="637F60A7" w14:textId="77777777">
        <w:trPr>
          <w:trHeight w:val="510"/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A536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多益口說與寫作測驗</w:t>
            </w:r>
            <w:r>
              <w:rPr>
                <w:rFonts w:eastAsia="標楷體"/>
              </w:rPr>
              <w:t>(TOEIC Speaking and Writing Tests)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1388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150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3F9F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說寫</w:t>
            </w:r>
            <w:r>
              <w:rPr>
                <w:rFonts w:eastAsia="標楷體"/>
                <w:b/>
              </w:rPr>
              <w:t>*</w:t>
            </w:r>
          </w:p>
          <w:p w14:paraId="69FA69DC" w14:textId="77777777" w:rsidR="00B216B3" w:rsidRDefault="00BB5D63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需另補齊「聽、讀」考試成績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187B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「說、寫」合併考；可單考「口說」。</w:t>
            </w:r>
          </w:p>
          <w:p w14:paraId="3903EE51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14:paraId="66DA65C7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</w:t>
            </w:r>
            <w:r>
              <w:rPr>
                <w:rFonts w:eastAsia="標楷體"/>
              </w:rPr>
              <w:t>ETS</w:t>
            </w:r>
            <w:r>
              <w:rPr>
                <w:rFonts w:eastAsia="標楷體"/>
              </w:rPr>
              <w:t>臺灣區代表忠欣股份有限公司</w:t>
            </w:r>
            <w:r>
              <w:rPr>
                <w:rFonts w:eastAsia="標楷體"/>
              </w:rPr>
              <w:t>102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24</w:t>
            </w:r>
            <w:r>
              <w:rPr>
                <w:rFonts w:eastAsia="標楷體"/>
              </w:rPr>
              <w:t>日忠益</w:t>
            </w:r>
            <w:r>
              <w:rPr>
                <w:rFonts w:eastAsia="標楷體"/>
              </w:rPr>
              <w:t>102</w:t>
            </w: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>132</w:t>
            </w:r>
            <w:r>
              <w:rPr>
                <w:rFonts w:eastAsia="標楷體"/>
              </w:rPr>
              <w:t>號函修正。</w:t>
            </w:r>
          </w:p>
        </w:tc>
      </w:tr>
      <w:tr w:rsidR="00B216B3" w14:paraId="6F993761" w14:textId="77777777">
        <w:trPr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CCF2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傳統多益英語測驗</w:t>
            </w:r>
            <w:r>
              <w:rPr>
                <w:rFonts w:eastAsia="標楷體"/>
              </w:rPr>
              <w:t>(TOEIC)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376E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750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56CB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聽讀</w:t>
            </w:r>
            <w:r>
              <w:rPr>
                <w:rFonts w:eastAsia="標楷體"/>
                <w:b/>
              </w:rPr>
              <w:t>*</w:t>
            </w:r>
          </w:p>
          <w:p w14:paraId="368F8FCD" w14:textId="77777777" w:rsidR="00B216B3" w:rsidRDefault="00BB5D63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需另補齊「說、寫」考試成績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6E16" w14:textId="77777777" w:rsidR="00B216B3" w:rsidRDefault="00BB5D63">
            <w:pPr>
              <w:numPr>
                <w:ilvl w:val="0"/>
                <w:numId w:val="1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傳統多益成績採認標準採總分制。</w:t>
            </w:r>
          </w:p>
          <w:p w14:paraId="726807D3" w14:textId="77777777" w:rsidR="00B216B3" w:rsidRDefault="00BB5D63">
            <w:pPr>
              <w:numPr>
                <w:ilvl w:val="0"/>
                <w:numId w:val="1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此項考試自</w:t>
            </w:r>
            <w:r>
              <w:rPr>
                <w:rFonts w:eastAsia="標楷體"/>
              </w:rPr>
              <w:t>98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31</w:t>
            </w:r>
            <w:r>
              <w:rPr>
                <w:rFonts w:eastAsia="標楷體"/>
              </w:rPr>
              <w:t>日起停考，故成績依行政院</w:t>
            </w:r>
            <w:r>
              <w:rPr>
                <w:rFonts w:eastAsia="標楷體"/>
              </w:rPr>
              <w:t>95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日院授人力字第</w:t>
            </w:r>
            <w:r>
              <w:rPr>
                <w:rFonts w:eastAsia="標楷體"/>
              </w:rPr>
              <w:t>0950061619</w:t>
            </w:r>
            <w:r>
              <w:rPr>
                <w:rFonts w:eastAsia="標楷體"/>
              </w:rPr>
              <w:t>號函之參照標準。</w:t>
            </w:r>
          </w:p>
          <w:p w14:paraId="1C010E95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  <w:rPr>
                <w:rFonts w:eastAsia="標楷體"/>
              </w:rPr>
            </w:pPr>
            <w:r>
              <w:rPr>
                <w:rFonts w:eastAsia="標楷體"/>
              </w:rPr>
              <w:t>資料參考：</w:t>
            </w:r>
            <w:r>
              <w:rPr>
                <w:rFonts w:eastAsia="標楷體"/>
              </w:rPr>
              <w:t>ETS</w:t>
            </w:r>
            <w:r>
              <w:rPr>
                <w:rFonts w:eastAsia="標楷體"/>
              </w:rPr>
              <w:t>臺灣區代表忠欣股份有限公司。</w:t>
            </w:r>
          </w:p>
        </w:tc>
      </w:tr>
      <w:tr w:rsidR="00B216B3" w14:paraId="113275AB" w14:textId="77777777">
        <w:trPr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687E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托福</w:t>
            </w:r>
            <w:r>
              <w:rPr>
                <w:rFonts w:eastAsia="標楷體"/>
              </w:rPr>
              <w:t>ITP</w:t>
            </w:r>
            <w:r>
              <w:rPr>
                <w:rFonts w:eastAsia="標楷體"/>
              </w:rPr>
              <w:t>測驗</w:t>
            </w:r>
            <w:r>
              <w:rPr>
                <w:rFonts w:eastAsia="標楷體"/>
              </w:rPr>
              <w:br/>
              <w:t>(TOEFL ITP)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851C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543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6D1F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聽讀</w:t>
            </w:r>
            <w:r>
              <w:rPr>
                <w:rFonts w:eastAsia="標楷體"/>
                <w:b/>
              </w:rPr>
              <w:t>*</w:t>
            </w:r>
          </w:p>
          <w:p w14:paraId="24CD11F5" w14:textId="77777777" w:rsidR="00B216B3" w:rsidRDefault="00BB5D63">
            <w:pPr>
              <w:snapToGrid w:val="0"/>
            </w:pPr>
            <w:r>
              <w:rPr>
                <w:rFonts w:eastAsia="標楷體"/>
                <w:b/>
              </w:rPr>
              <w:t>需另補齊「說、寫」考試成績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B9B8" w14:textId="77777777" w:rsidR="00B216B3" w:rsidRDefault="00BB5D63">
            <w:pPr>
              <w:numPr>
                <w:ilvl w:val="0"/>
                <w:numId w:val="1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分數含聽力、文法結構及閱讀，成績採認標準採總分制；無寫作及口說考試。</w:t>
            </w:r>
          </w:p>
          <w:p w14:paraId="507FC041" w14:textId="77777777" w:rsidR="00B216B3" w:rsidRDefault="00BB5D63">
            <w:pPr>
              <w:numPr>
                <w:ilvl w:val="0"/>
                <w:numId w:val="1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對照成績自</w:t>
            </w:r>
            <w:r>
              <w:rPr>
                <w:rFonts w:eastAsia="標楷體"/>
              </w:rPr>
              <w:t>100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月起更新，</w:t>
            </w:r>
            <w:r>
              <w:rPr>
                <w:rFonts w:eastAsia="標楷體"/>
              </w:rPr>
              <w:t>100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月前對照成績為</w:t>
            </w:r>
            <w:r>
              <w:rPr>
                <w:rFonts w:eastAsia="標楷體"/>
              </w:rPr>
              <w:t>527</w:t>
            </w:r>
            <w:r>
              <w:rPr>
                <w:rFonts w:eastAsia="標楷體"/>
              </w:rPr>
              <w:t>。</w:t>
            </w:r>
          </w:p>
          <w:p w14:paraId="4FFF537B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</w:t>
            </w:r>
            <w:r>
              <w:rPr>
                <w:rFonts w:eastAsia="標楷體"/>
              </w:rPr>
              <w:t>ETS</w:t>
            </w:r>
            <w:r>
              <w:rPr>
                <w:rFonts w:eastAsia="標楷體"/>
              </w:rPr>
              <w:t>臺灣區代表忠欣股份有限公司</w:t>
            </w:r>
            <w:r>
              <w:rPr>
                <w:rFonts w:eastAsia="標楷體"/>
              </w:rPr>
              <w:t>102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24</w:t>
            </w:r>
            <w:r>
              <w:rPr>
                <w:rFonts w:eastAsia="標楷體"/>
              </w:rPr>
              <w:t>日忠益</w:t>
            </w:r>
            <w:r>
              <w:rPr>
                <w:rFonts w:eastAsia="標楷體"/>
              </w:rPr>
              <w:t>102</w:t>
            </w: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>132</w:t>
            </w:r>
            <w:r>
              <w:rPr>
                <w:rFonts w:eastAsia="標楷體"/>
              </w:rPr>
              <w:t>號函修正。</w:t>
            </w:r>
            <w:r>
              <w:t>http://www.toefl.com.tw/newpdf/CEFR%20TOEFL_20160127.pdf</w:t>
            </w:r>
          </w:p>
        </w:tc>
      </w:tr>
      <w:tr w:rsidR="00B216B3" w14:paraId="1A339346" w14:textId="77777777">
        <w:trPr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EEBF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托福</w:t>
            </w:r>
            <w:r>
              <w:rPr>
                <w:rFonts w:eastAsia="標楷體"/>
              </w:rPr>
              <w:t>CBT</w:t>
            </w:r>
            <w:r>
              <w:rPr>
                <w:rFonts w:eastAsia="標楷體"/>
              </w:rPr>
              <w:t>測驗</w:t>
            </w:r>
            <w:r>
              <w:rPr>
                <w:rFonts w:eastAsia="標楷體"/>
              </w:rPr>
              <w:t>(TOEFL CBT)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F61F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197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C9D8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聽讀寫</w:t>
            </w:r>
            <w:r>
              <w:rPr>
                <w:rFonts w:eastAsia="標楷體"/>
                <w:b/>
              </w:rPr>
              <w:t>*</w:t>
            </w:r>
          </w:p>
          <w:p w14:paraId="58A5415A" w14:textId="77777777" w:rsidR="00B216B3" w:rsidRDefault="00BB5D63">
            <w:pPr>
              <w:snapToGrid w:val="0"/>
            </w:pPr>
            <w:r>
              <w:rPr>
                <w:rFonts w:eastAsia="標楷體"/>
                <w:b/>
              </w:rPr>
              <w:t>需另補齊「說」考試成績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0A63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無口說考試。</w:t>
            </w:r>
          </w:p>
          <w:p w14:paraId="79A058FE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此項考試自</w:t>
            </w:r>
            <w:hyperlink r:id="rId8" w:tooltip="2006年" w:history="1">
              <w:r>
                <w:rPr>
                  <w:rFonts w:eastAsia="標楷體"/>
                </w:rPr>
                <w:t>95</w:t>
              </w:r>
              <w:r>
                <w:rPr>
                  <w:rFonts w:eastAsia="標楷體"/>
                </w:rPr>
                <w:t>年</w:t>
              </w:r>
            </w:hyperlink>
            <w:hyperlink r:id="rId9" w:tooltip="9月30日" w:history="1">
              <w:r>
                <w:rPr>
                  <w:rFonts w:eastAsia="標楷體"/>
                </w:rPr>
                <w:t>9</w:t>
              </w:r>
              <w:r>
                <w:rPr>
                  <w:rFonts w:eastAsia="標楷體"/>
                </w:rPr>
                <w:t>月</w:t>
              </w:r>
              <w:r>
                <w:rPr>
                  <w:rFonts w:eastAsia="標楷體"/>
                </w:rPr>
                <w:t>30</w:t>
              </w:r>
              <w:r>
                <w:rPr>
                  <w:rFonts w:eastAsia="標楷體"/>
                </w:rPr>
                <w:t>日</w:t>
              </w:r>
            </w:hyperlink>
            <w:r>
              <w:rPr>
                <w:rFonts w:eastAsia="標楷體"/>
              </w:rPr>
              <w:t>起停辦，故成績依行政院</w:t>
            </w:r>
            <w:r>
              <w:rPr>
                <w:rFonts w:eastAsia="標楷體"/>
              </w:rPr>
              <w:t>95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日院授人力字第</w:t>
            </w:r>
            <w:r>
              <w:rPr>
                <w:rFonts w:eastAsia="標楷體"/>
              </w:rPr>
              <w:t>0950061619</w:t>
            </w:r>
            <w:r>
              <w:rPr>
                <w:rFonts w:eastAsia="標楷體"/>
              </w:rPr>
              <w:t>號函之參照標準。</w:t>
            </w:r>
          </w:p>
          <w:p w14:paraId="17831118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</w:t>
            </w:r>
            <w:r>
              <w:rPr>
                <w:rFonts w:eastAsia="標楷體"/>
              </w:rPr>
              <w:t>ETS</w:t>
            </w:r>
            <w:r>
              <w:rPr>
                <w:rFonts w:eastAsia="標楷體"/>
              </w:rPr>
              <w:t>臺灣區代表忠欣股份有限公司。</w:t>
            </w:r>
          </w:p>
        </w:tc>
      </w:tr>
      <w:tr w:rsidR="00B216B3" w14:paraId="7547747B" w14:textId="77777777">
        <w:trPr>
          <w:trHeight w:val="70"/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97D5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托福</w:t>
            </w:r>
            <w:r>
              <w:rPr>
                <w:rFonts w:eastAsia="標楷體"/>
              </w:rPr>
              <w:t>PBT</w:t>
            </w:r>
            <w:r>
              <w:rPr>
                <w:rFonts w:eastAsia="標楷體"/>
              </w:rPr>
              <w:t>測驗</w:t>
            </w:r>
            <w:r>
              <w:rPr>
                <w:rFonts w:eastAsia="標楷體"/>
              </w:rPr>
              <w:t>(TOEFL PBT)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9115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&amp;</w:t>
            </w:r>
            <w:r>
              <w:rPr>
                <w:rFonts w:eastAsia="標楷體"/>
              </w:rPr>
              <w:t>閱讀</w:t>
            </w:r>
            <w:r>
              <w:rPr>
                <w:rFonts w:eastAsia="標楷體"/>
              </w:rPr>
              <w:t>527</w:t>
            </w:r>
          </w:p>
          <w:p w14:paraId="47D0B024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寫作</w:t>
            </w:r>
            <w:r>
              <w:rPr>
                <w:rFonts w:eastAsia="標楷體"/>
              </w:rPr>
              <w:t>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22EE" w14:textId="77777777" w:rsidR="00B216B3" w:rsidRDefault="00BB5D63">
            <w:pPr>
              <w:snapToGrid w:val="0"/>
            </w:pPr>
            <w:r>
              <w:rPr>
                <w:rFonts w:eastAsia="標楷體"/>
              </w:rPr>
              <w:t>聽讀寫</w:t>
            </w:r>
            <w:r>
              <w:rPr>
                <w:rFonts w:eastAsia="標楷體"/>
                <w:b/>
              </w:rPr>
              <w:t>*</w:t>
            </w:r>
          </w:p>
          <w:p w14:paraId="6902D3BC" w14:textId="77777777" w:rsidR="00B216B3" w:rsidRDefault="00BB5D63">
            <w:pPr>
              <w:snapToGrid w:val="0"/>
            </w:pPr>
            <w:r>
              <w:rPr>
                <w:rFonts w:eastAsia="標楷體"/>
                <w:b/>
              </w:rPr>
              <w:t>需另補齊「說」考試成績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B3E2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無口說考試；寫作考試成績依其能力描述之評分表，寫作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分約等同於</w:t>
            </w:r>
            <w:r>
              <w:rPr>
                <w:rFonts w:eastAsia="標楷體"/>
              </w:rPr>
              <w:t>CEF</w:t>
            </w:r>
            <w:r>
              <w:rPr>
                <w:rFonts w:eastAsia="標楷體"/>
              </w:rPr>
              <w:t>之</w:t>
            </w:r>
            <w:r>
              <w:rPr>
                <w:rFonts w:eastAsia="標楷體"/>
              </w:rPr>
              <w:t>B2</w:t>
            </w:r>
            <w:r>
              <w:rPr>
                <w:rFonts w:eastAsia="標楷體"/>
              </w:rPr>
              <w:t>級成績。</w:t>
            </w:r>
          </w:p>
          <w:p w14:paraId="06DE9DC0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部份區域已停考。臺灣地區於</w:t>
            </w:r>
            <w:r>
              <w:rPr>
                <w:rFonts w:eastAsia="標楷體"/>
              </w:rPr>
              <w:t>90</w:t>
            </w:r>
            <w:r>
              <w:rPr>
                <w:rFonts w:eastAsia="標楷體"/>
              </w:rPr>
              <w:t>年停考。</w:t>
            </w:r>
          </w:p>
          <w:p w14:paraId="25568E84" w14:textId="77777777" w:rsidR="00B216B3" w:rsidRDefault="00BB5D63">
            <w:pPr>
              <w:numPr>
                <w:ilvl w:val="0"/>
                <w:numId w:val="11"/>
              </w:numPr>
              <w:snapToGrid w:val="0"/>
            </w:pPr>
            <w:r>
              <w:rPr>
                <w:rFonts w:eastAsia="標楷體"/>
              </w:rPr>
              <w:t>此項考試成績依行政院</w:t>
            </w:r>
            <w:r>
              <w:rPr>
                <w:rFonts w:eastAsia="標楷體"/>
              </w:rPr>
              <w:t>95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日院授人力字第</w:t>
            </w:r>
            <w:r>
              <w:rPr>
                <w:rFonts w:eastAsia="標楷體"/>
              </w:rPr>
              <w:t>0950061619</w:t>
            </w:r>
            <w:r>
              <w:rPr>
                <w:rFonts w:eastAsia="標楷體"/>
              </w:rPr>
              <w:t>號函之參照標準。</w:t>
            </w:r>
          </w:p>
          <w:p w14:paraId="04A62789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</w:t>
            </w:r>
            <w:r>
              <w:rPr>
                <w:rFonts w:eastAsia="標楷體"/>
              </w:rPr>
              <w:t>ETS</w:t>
            </w:r>
            <w:r>
              <w:rPr>
                <w:rFonts w:eastAsia="標楷體"/>
              </w:rPr>
              <w:t>臺灣區代表忠欣股份有限公司。</w:t>
            </w:r>
          </w:p>
        </w:tc>
      </w:tr>
      <w:tr w:rsidR="00B216B3" w14:paraId="3D52765F" w14:textId="77777777">
        <w:trPr>
          <w:trHeight w:val="70"/>
          <w:jc w:val="center"/>
        </w:trPr>
        <w:tc>
          <w:tcPr>
            <w:tcW w:w="22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77FC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培力英檢測驗</w:t>
            </w:r>
          </w:p>
          <w:p w14:paraId="7DA3EE90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(BESTEP)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F95C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聽、讀</w:t>
            </w:r>
            <w:r>
              <w:rPr>
                <w:rFonts w:eastAsia="標楷體"/>
              </w:rPr>
              <w:t>100~114</w:t>
            </w:r>
            <w:r>
              <w:rPr>
                <w:rFonts w:eastAsia="標楷體"/>
              </w:rPr>
              <w:t>；</w:t>
            </w:r>
          </w:p>
          <w:p w14:paraId="5481F964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280~305</w:t>
            </w:r>
            <w:r>
              <w:rPr>
                <w:rFonts w:eastAsia="標楷體"/>
              </w:rPr>
              <w:t>；</w:t>
            </w:r>
          </w:p>
          <w:p w14:paraId="1949494C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寫作</w:t>
            </w:r>
            <w:r>
              <w:rPr>
                <w:rFonts w:eastAsia="標楷體"/>
              </w:rPr>
              <w:t>280~305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A587" w14:textId="77777777" w:rsidR="00B216B3" w:rsidRDefault="00BB5D6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53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F95E" w14:textId="77777777" w:rsidR="00B216B3" w:rsidRDefault="00BB5D63">
            <w:pPr>
              <w:numPr>
                <w:ilvl w:val="0"/>
                <w:numId w:val="12"/>
              </w:numPr>
              <w:snapToGrid w:val="0"/>
              <w:ind w:left="386" w:hanging="386"/>
              <w:rPr>
                <w:rFonts w:eastAsia="標楷體"/>
              </w:rPr>
            </w:pPr>
            <w:r>
              <w:rPr>
                <w:rFonts w:eastAsia="標楷體"/>
              </w:rPr>
              <w:t>資料參考：培力英檢測驗</w:t>
            </w:r>
            <w:r>
              <w:rPr>
                <w:rFonts w:eastAsia="標楷體"/>
              </w:rPr>
              <w:t>https://bestep.tw/</w:t>
            </w:r>
          </w:p>
        </w:tc>
      </w:tr>
    </w:tbl>
    <w:p w14:paraId="1F93F1A8" w14:textId="77777777" w:rsidR="00B216B3" w:rsidRDefault="00B216B3">
      <w:pPr>
        <w:rPr>
          <w:rFonts w:eastAsia="標楷體"/>
        </w:rPr>
      </w:pPr>
    </w:p>
    <w:p w14:paraId="51F3EC2B" w14:textId="77777777" w:rsidR="0059557F" w:rsidRDefault="0059557F">
      <w:pPr>
        <w:widowControl/>
        <w:suppressAutoHyphens w:val="0"/>
        <w:rPr>
          <w:rFonts w:eastAsia="標楷體"/>
          <w:color w:val="000000"/>
          <w:shd w:val="clear" w:color="auto" w:fill="FFFFFF"/>
        </w:rPr>
      </w:pPr>
      <w:r>
        <w:rPr>
          <w:rFonts w:eastAsia="標楷體"/>
          <w:color w:val="000000"/>
          <w:shd w:val="clear" w:color="auto" w:fill="FFFFFF"/>
        </w:rPr>
        <w:br w:type="page"/>
      </w:r>
    </w:p>
    <w:p w14:paraId="09AA7707" w14:textId="79A1DEF9" w:rsidR="00B216B3" w:rsidRDefault="00BB5D63">
      <w:pPr>
        <w:widowControl/>
        <w:ind w:left="849" w:right="118" w:hanging="422"/>
      </w:pPr>
      <w:r>
        <w:rPr>
          <w:rFonts w:eastAsia="標楷體"/>
          <w:color w:val="000000"/>
          <w:shd w:val="clear" w:color="auto" w:fill="FFFFFF"/>
        </w:rPr>
        <w:lastRenderedPageBreak/>
        <w:t>一、依教育部</w:t>
      </w:r>
      <w:r>
        <w:rPr>
          <w:rFonts w:eastAsia="標楷體"/>
          <w:color w:val="000000"/>
          <w:shd w:val="clear" w:color="auto" w:fill="FFFFFF"/>
        </w:rPr>
        <w:t>110</w:t>
      </w:r>
      <w:r>
        <w:rPr>
          <w:rFonts w:eastAsia="標楷體"/>
          <w:color w:val="000000"/>
          <w:shd w:val="clear" w:color="auto" w:fill="FFFFFF"/>
        </w:rPr>
        <w:t>年</w:t>
      </w:r>
      <w:r>
        <w:rPr>
          <w:rFonts w:eastAsia="標楷體"/>
          <w:color w:val="000000"/>
          <w:shd w:val="clear" w:color="auto" w:fill="FFFFFF"/>
        </w:rPr>
        <w:t>10</w:t>
      </w:r>
      <w:r>
        <w:rPr>
          <w:rFonts w:eastAsia="標楷體"/>
          <w:color w:val="000000"/>
          <w:shd w:val="clear" w:color="auto" w:fill="FFFFFF"/>
        </w:rPr>
        <w:t>月</w:t>
      </w:r>
      <w:r>
        <w:rPr>
          <w:rFonts w:eastAsia="標楷體"/>
          <w:color w:val="000000"/>
          <w:shd w:val="clear" w:color="auto" w:fill="FFFFFF"/>
        </w:rPr>
        <w:t>12</w:t>
      </w:r>
      <w:r>
        <w:rPr>
          <w:rFonts w:eastAsia="標楷體"/>
          <w:color w:val="000000"/>
          <w:shd w:val="clear" w:color="auto" w:fill="FFFFFF"/>
        </w:rPr>
        <w:t>日臺教師</w:t>
      </w:r>
      <w:r>
        <w:rPr>
          <w:rFonts w:eastAsia="標楷體"/>
          <w:color w:val="000000"/>
          <w:shd w:val="clear" w:color="auto" w:fill="FFFFFF"/>
        </w:rPr>
        <w:t>(</w:t>
      </w:r>
      <w:r>
        <w:rPr>
          <w:rFonts w:eastAsia="標楷體"/>
          <w:color w:val="000000"/>
          <w:shd w:val="clear" w:color="auto" w:fill="FFFFFF"/>
        </w:rPr>
        <w:t>四</w:t>
      </w:r>
      <w:r>
        <w:rPr>
          <w:rFonts w:eastAsia="標楷體"/>
          <w:color w:val="000000"/>
          <w:shd w:val="clear" w:color="auto" w:fill="FFFFFF"/>
        </w:rPr>
        <w:t>)</w:t>
      </w:r>
      <w:r>
        <w:rPr>
          <w:rFonts w:eastAsia="標楷體"/>
          <w:color w:val="000000"/>
          <w:shd w:val="clear" w:color="auto" w:fill="FFFFFF"/>
        </w:rPr>
        <w:t>字第</w:t>
      </w:r>
      <w:r>
        <w:rPr>
          <w:rFonts w:eastAsia="標楷體"/>
          <w:color w:val="000000"/>
          <w:shd w:val="clear" w:color="auto" w:fill="FFFFFF"/>
        </w:rPr>
        <w:t>1100122359</w:t>
      </w:r>
      <w:r>
        <w:rPr>
          <w:rFonts w:eastAsia="標楷體"/>
          <w:color w:val="000000"/>
          <w:shd w:val="clear" w:color="auto" w:fill="FFFFFF"/>
        </w:rPr>
        <w:t>號函示，原訂「國民小學教師加註英語專長符合相當於</w:t>
      </w:r>
      <w:r>
        <w:rPr>
          <w:rFonts w:eastAsia="標楷體"/>
          <w:color w:val="000000"/>
          <w:shd w:val="clear" w:color="auto" w:fill="FFFFFF"/>
        </w:rPr>
        <w:t>CEFR</w:t>
      </w:r>
      <w:r>
        <w:rPr>
          <w:rFonts w:eastAsia="標楷體"/>
          <w:color w:val="000000"/>
          <w:shd w:val="clear" w:color="auto" w:fill="FFFFFF"/>
        </w:rPr>
        <w:t>語言參考架構</w:t>
      </w:r>
      <w:r>
        <w:rPr>
          <w:rFonts w:eastAsia="標楷體"/>
          <w:color w:val="000000"/>
          <w:shd w:val="clear" w:color="auto" w:fill="FFFFFF"/>
        </w:rPr>
        <w:t>B2</w:t>
      </w:r>
      <w:r>
        <w:rPr>
          <w:rFonts w:eastAsia="標楷體"/>
          <w:color w:val="000000"/>
          <w:shd w:val="clear" w:color="auto" w:fill="FFFFFF"/>
        </w:rPr>
        <w:t>級之各項英語檢定考試標準參照表」自</w:t>
      </w:r>
      <w:r>
        <w:rPr>
          <w:rFonts w:eastAsia="標楷體"/>
          <w:color w:val="000000"/>
          <w:shd w:val="clear" w:color="auto" w:fill="FFFFFF"/>
        </w:rPr>
        <w:t>111</w:t>
      </w:r>
      <w:r>
        <w:rPr>
          <w:rFonts w:eastAsia="標楷體"/>
          <w:color w:val="000000"/>
          <w:shd w:val="clear" w:color="auto" w:fill="FFFFFF"/>
        </w:rPr>
        <w:t>年</w:t>
      </w:r>
      <w:r>
        <w:rPr>
          <w:rFonts w:eastAsia="標楷體"/>
          <w:color w:val="000000"/>
          <w:shd w:val="clear" w:color="auto" w:fill="FFFFFF"/>
        </w:rPr>
        <w:t>2</w:t>
      </w:r>
      <w:r>
        <w:rPr>
          <w:rFonts w:eastAsia="標楷體"/>
          <w:color w:val="000000"/>
          <w:shd w:val="clear" w:color="auto" w:fill="FFFFFF"/>
        </w:rPr>
        <w:t>月</w:t>
      </w:r>
      <w:r>
        <w:rPr>
          <w:rFonts w:eastAsia="標楷體"/>
          <w:color w:val="000000"/>
          <w:shd w:val="clear" w:color="auto" w:fill="FFFFFF"/>
        </w:rPr>
        <w:t>1</w:t>
      </w:r>
      <w:r>
        <w:rPr>
          <w:rFonts w:eastAsia="標楷體"/>
          <w:color w:val="000000"/>
          <w:shd w:val="clear" w:color="auto" w:fill="FFFFFF"/>
        </w:rPr>
        <w:t>日起不再適用。</w:t>
      </w:r>
      <w:r>
        <w:rPr>
          <w:rFonts w:eastAsia="標楷體"/>
          <w:color w:val="000000"/>
        </w:rPr>
        <w:br/>
      </w:r>
    </w:p>
    <w:p w14:paraId="6BA4F579" w14:textId="77777777" w:rsidR="00B216B3" w:rsidRDefault="00BB5D63">
      <w:pPr>
        <w:widowControl/>
        <w:ind w:left="849" w:right="118" w:hanging="422"/>
      </w:pPr>
      <w:r>
        <w:rPr>
          <w:rFonts w:eastAsia="標楷體"/>
          <w:color w:val="000000"/>
          <w:shd w:val="clear" w:color="auto" w:fill="FFFFFF"/>
        </w:rPr>
        <w:t>二、本表</w:t>
      </w:r>
      <w:r>
        <w:rPr>
          <w:rFonts w:eastAsia="標楷體"/>
          <w:color w:val="000000"/>
          <w:shd w:val="clear" w:color="auto" w:fill="FFFFFF"/>
        </w:rPr>
        <w:t>(CEFR B2</w:t>
      </w:r>
      <w:r>
        <w:rPr>
          <w:rFonts w:eastAsia="標楷體"/>
          <w:color w:val="000000"/>
          <w:shd w:val="clear" w:color="auto" w:fill="FFFFFF"/>
        </w:rPr>
        <w:t>級</w:t>
      </w:r>
      <w:r>
        <w:rPr>
          <w:rFonts w:eastAsia="標楷體"/>
          <w:color w:val="000000"/>
          <w:shd w:val="clear" w:color="auto" w:fill="FFFFFF"/>
        </w:rPr>
        <w:t>)</w:t>
      </w:r>
      <w:r>
        <w:rPr>
          <w:rFonts w:eastAsia="標楷體"/>
          <w:color w:val="000000"/>
          <w:shd w:val="clear" w:color="auto" w:fill="FFFFFF"/>
        </w:rPr>
        <w:t>將做為本校</w:t>
      </w:r>
      <w:r>
        <w:rPr>
          <w:rFonts w:eastAsia="標楷體"/>
          <w:color w:val="000000"/>
          <w:shd w:val="clear" w:color="auto" w:fill="FFFFFF"/>
        </w:rPr>
        <w:t>111</w:t>
      </w:r>
      <w:r>
        <w:rPr>
          <w:rFonts w:eastAsia="標楷體"/>
          <w:color w:val="000000"/>
          <w:shd w:val="clear" w:color="auto" w:fill="FFFFFF"/>
        </w:rPr>
        <w:t>年</w:t>
      </w:r>
      <w:r>
        <w:rPr>
          <w:rFonts w:eastAsia="標楷體"/>
          <w:color w:val="000000"/>
          <w:shd w:val="clear" w:color="auto" w:fill="FFFFFF"/>
        </w:rPr>
        <w:t>2</w:t>
      </w:r>
      <w:r>
        <w:rPr>
          <w:rFonts w:eastAsia="標楷體"/>
          <w:color w:val="000000"/>
          <w:shd w:val="clear" w:color="auto" w:fill="FFFFFF"/>
        </w:rPr>
        <w:t>月</w:t>
      </w:r>
      <w:r>
        <w:rPr>
          <w:rFonts w:eastAsia="標楷體"/>
          <w:color w:val="000000"/>
          <w:shd w:val="clear" w:color="auto" w:fill="FFFFFF"/>
        </w:rPr>
        <w:t>1</w:t>
      </w:r>
      <w:r>
        <w:rPr>
          <w:rFonts w:eastAsia="標楷體"/>
          <w:color w:val="000000"/>
          <w:shd w:val="clear" w:color="auto" w:fill="FFFFFF"/>
        </w:rPr>
        <w:t>日起辦理</w:t>
      </w:r>
      <w:r>
        <w:rPr>
          <w:rFonts w:eastAsia="標楷體"/>
          <w:color w:val="000000"/>
          <w:shd w:val="clear" w:color="auto" w:fill="FFFFFF"/>
          <w:lang w:eastAsia="zh-HK"/>
        </w:rPr>
        <w:t>中等學校語文領域</w:t>
      </w:r>
      <w:r>
        <w:rPr>
          <w:rFonts w:eastAsia="標楷體"/>
          <w:color w:val="000000"/>
          <w:shd w:val="clear" w:color="auto" w:fill="FFFFFF"/>
        </w:rPr>
        <w:t>英語</w:t>
      </w:r>
      <w:r>
        <w:rPr>
          <w:rFonts w:eastAsia="標楷體"/>
          <w:color w:val="000000"/>
          <w:shd w:val="clear" w:color="auto" w:fill="FFFFFF"/>
          <w:lang w:eastAsia="zh-HK"/>
        </w:rPr>
        <w:t>文</w:t>
      </w:r>
      <w:r>
        <w:rPr>
          <w:rFonts w:eastAsia="標楷體"/>
          <w:color w:val="000000"/>
          <w:shd w:val="clear" w:color="auto" w:fill="FFFFFF"/>
        </w:rPr>
        <w:t>專長教師證書英語檢定考試參照標準。</w:t>
      </w:r>
    </w:p>
    <w:p w14:paraId="326A0A0F" w14:textId="77777777" w:rsidR="00B216B3" w:rsidRDefault="00B216B3"/>
    <w:sectPr w:rsidR="00B216B3">
      <w:footerReference w:type="default" r:id="rId10"/>
      <w:pgSz w:w="11906" w:h="16838"/>
      <w:pgMar w:top="426" w:right="720" w:bottom="426" w:left="720" w:header="851" w:footer="992" w:gutter="0"/>
      <w:cols w:space="720"/>
      <w:docGrid w:type="line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7BE2" w14:textId="77777777" w:rsidR="00FB0CB9" w:rsidRDefault="00FB0CB9">
      <w:r>
        <w:separator/>
      </w:r>
    </w:p>
  </w:endnote>
  <w:endnote w:type="continuationSeparator" w:id="0">
    <w:p w14:paraId="112ACE9D" w14:textId="77777777" w:rsidR="00FB0CB9" w:rsidRDefault="00FB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D0AE" w14:textId="233B2BD7" w:rsidR="002E2227" w:rsidRDefault="00BB5D63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816DC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7340" w14:textId="77777777" w:rsidR="00FB0CB9" w:rsidRDefault="00FB0CB9">
      <w:r>
        <w:rPr>
          <w:color w:val="000000"/>
        </w:rPr>
        <w:separator/>
      </w:r>
    </w:p>
  </w:footnote>
  <w:footnote w:type="continuationSeparator" w:id="0">
    <w:p w14:paraId="2678E7BA" w14:textId="77777777" w:rsidR="00FB0CB9" w:rsidRDefault="00FB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34C"/>
    <w:multiLevelType w:val="multilevel"/>
    <w:tmpl w:val="08ACEF5C"/>
    <w:lvl w:ilvl="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93123E"/>
    <w:multiLevelType w:val="multilevel"/>
    <w:tmpl w:val="09E0326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7F2336E"/>
    <w:multiLevelType w:val="multilevel"/>
    <w:tmpl w:val="96CA29DE"/>
    <w:styleLink w:val="WWOutlineListStyle3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F1E4E9D"/>
    <w:multiLevelType w:val="multilevel"/>
    <w:tmpl w:val="2DE057E0"/>
    <w:styleLink w:val="WWOutlineListStyle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4C3B97"/>
    <w:multiLevelType w:val="multilevel"/>
    <w:tmpl w:val="B97A2956"/>
    <w:styleLink w:val="WWOutlineListStyle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FB91A35"/>
    <w:multiLevelType w:val="multilevel"/>
    <w:tmpl w:val="145A0D92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49A3C0B"/>
    <w:multiLevelType w:val="multilevel"/>
    <w:tmpl w:val="84A080DC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46E90950"/>
    <w:multiLevelType w:val="multilevel"/>
    <w:tmpl w:val="ED50B9E6"/>
    <w:styleLink w:val="WWOutlineListStyle7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C4D707C"/>
    <w:multiLevelType w:val="multilevel"/>
    <w:tmpl w:val="48E6EE2A"/>
    <w:styleLink w:val="WWOutlineListStyle5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79B1631"/>
    <w:multiLevelType w:val="multilevel"/>
    <w:tmpl w:val="16700936"/>
    <w:styleLink w:val="WWOutlineListStyle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C270CAA"/>
    <w:multiLevelType w:val="multilevel"/>
    <w:tmpl w:val="EF66CAD8"/>
    <w:styleLink w:val="WWOutlineListStyle1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352692E"/>
    <w:multiLevelType w:val="multilevel"/>
    <w:tmpl w:val="A2D6725C"/>
    <w:styleLink w:val="WWOutlineListStyle8"/>
    <w:lvl w:ilvl="0">
      <w:start w:val="1"/>
      <w:numFmt w:val="decimal"/>
      <w:pStyle w:val="1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B3"/>
    <w:rsid w:val="00247D9A"/>
    <w:rsid w:val="002E4512"/>
    <w:rsid w:val="003816DC"/>
    <w:rsid w:val="00417C5A"/>
    <w:rsid w:val="0059557F"/>
    <w:rsid w:val="00752E7A"/>
    <w:rsid w:val="008048E5"/>
    <w:rsid w:val="00884841"/>
    <w:rsid w:val="009D486F"/>
    <w:rsid w:val="00B216B3"/>
    <w:rsid w:val="00B7079B"/>
    <w:rsid w:val="00BB5D63"/>
    <w:rsid w:val="00C71DB8"/>
    <w:rsid w:val="00CC7107"/>
    <w:rsid w:val="00E872D0"/>
    <w:rsid w:val="00F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1FAD1"/>
  <w15:docId w15:val="{A1525E59-B1B8-44B5-9998-DD22D64D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8">
    <w:name w:val="WW_OutlineListStyle_8"/>
    <w:basedOn w:val="a2"/>
    <w:pPr>
      <w:numPr>
        <w:numId w:val="1"/>
      </w:numPr>
    </w:pPr>
  </w:style>
  <w:style w:type="paragraph" w:customStyle="1" w:styleId="1">
    <w:name w:val="樣式1"/>
    <w:basedOn w:val="10"/>
    <w:autoRedefine/>
    <w:pPr>
      <w:keepNext w:val="0"/>
      <w:numPr>
        <w:numId w:val="1"/>
      </w:numPr>
      <w:tabs>
        <w:tab w:val="left" w:pos="-2340"/>
        <w:tab w:val="left" w:pos="-1858"/>
        <w:tab w:val="left" w:pos="-1800"/>
      </w:tabs>
      <w:snapToGrid w:val="0"/>
      <w:spacing w:line="400" w:lineRule="exact"/>
      <w:jc w:val="both"/>
    </w:pPr>
    <w:rPr>
      <w:rFonts w:ascii="標楷體" w:eastAsia="標楷體" w:hAnsi="標楷體"/>
      <w:bCs w:val="0"/>
      <w:sz w:val="28"/>
      <w:szCs w:val="28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a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11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numbering" w:customStyle="1" w:styleId="WWOutlineListStyle7">
    <w:name w:val="WW_OutlineListStyle_7"/>
    <w:basedOn w:val="a2"/>
    <w:pPr>
      <w:numPr>
        <w:numId w:val="2"/>
      </w:numPr>
    </w:pPr>
  </w:style>
  <w:style w:type="numbering" w:customStyle="1" w:styleId="WWOutlineListStyle6">
    <w:name w:val="WW_OutlineListStyle_6"/>
    <w:basedOn w:val="a2"/>
    <w:pPr>
      <w:numPr>
        <w:numId w:val="3"/>
      </w:numPr>
    </w:pPr>
  </w:style>
  <w:style w:type="numbering" w:customStyle="1" w:styleId="WWOutlineListStyle5">
    <w:name w:val="WW_OutlineListStyle_5"/>
    <w:basedOn w:val="a2"/>
    <w:pPr>
      <w:numPr>
        <w:numId w:val="4"/>
      </w:numPr>
    </w:pPr>
  </w:style>
  <w:style w:type="numbering" w:customStyle="1" w:styleId="WWOutlineListStyle4">
    <w:name w:val="WW_OutlineListStyle_4"/>
    <w:basedOn w:val="a2"/>
    <w:pPr>
      <w:numPr>
        <w:numId w:val="5"/>
      </w:numPr>
    </w:pPr>
  </w:style>
  <w:style w:type="numbering" w:customStyle="1" w:styleId="WWOutlineListStyle3">
    <w:name w:val="WW_OutlineListStyle_3"/>
    <w:basedOn w:val="a2"/>
    <w:pPr>
      <w:numPr>
        <w:numId w:val="6"/>
      </w:numPr>
    </w:pPr>
  </w:style>
  <w:style w:type="numbering" w:customStyle="1" w:styleId="WWOutlineListStyle2">
    <w:name w:val="WW_OutlineListStyle_2"/>
    <w:basedOn w:val="a2"/>
    <w:pPr>
      <w:numPr>
        <w:numId w:val="7"/>
      </w:numPr>
    </w:pPr>
  </w:style>
  <w:style w:type="numbering" w:customStyle="1" w:styleId="WWOutlineListStyle1">
    <w:name w:val="WW_OutlineListStyle_1"/>
    <w:basedOn w:val="a2"/>
    <w:pPr>
      <w:numPr>
        <w:numId w:val="8"/>
      </w:numPr>
    </w:pPr>
  </w:style>
  <w:style w:type="numbering" w:customStyle="1" w:styleId="WWOutlineListStyle">
    <w:name w:val="WW_OutlineListStyle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2006&#24180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9&#26376;30&#2608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susan Tseng</cp:lastModifiedBy>
  <cp:revision>7</cp:revision>
  <cp:lastPrinted>2026-04-08T09:52:00Z</cp:lastPrinted>
  <dcterms:created xsi:type="dcterms:W3CDTF">2026-04-08T09:52:00Z</dcterms:created>
  <dcterms:modified xsi:type="dcterms:W3CDTF">2026-04-14T09:55:00Z</dcterms:modified>
</cp:coreProperties>
</file>